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3C0D0" w14:textId="01A8FA2B" w:rsidR="008F06CA" w:rsidRPr="008F06CA" w:rsidRDefault="008F06CA" w:rsidP="008F06CA">
      <w:pPr>
        <w:keepNext/>
        <w:spacing w:before="400" w:after="240" w:line="276" w:lineRule="auto"/>
        <w:ind w:left="2268" w:hanging="2268"/>
        <w:outlineLvl w:val="0"/>
        <w:rPr>
          <w:rFonts w:ascii="Arial" w:eastAsia="Arial" w:hAnsi="Arial" w:cs="Angsana New"/>
          <w:b/>
          <w:color w:val="1A6DAD"/>
          <w:kern w:val="0"/>
          <w:sz w:val="32"/>
          <w:szCs w:val="40"/>
          <w:lang w:val="mi-NZ" w:eastAsia="en-US" w:bidi="ar-SA"/>
          <w14:ligatures w14:val="none"/>
        </w:rPr>
      </w:pPr>
      <w:bookmarkStart w:id="0" w:name="_Toc187739004"/>
      <w:bookmarkStart w:id="1" w:name="_Toc191377886"/>
      <w:proofErr w:type="spellStart"/>
      <w:r>
        <w:rPr>
          <w:rFonts w:ascii="Arial" w:eastAsia="Arial" w:hAnsi="Arial" w:cs="Angsana New"/>
          <w:b/>
          <w:color w:val="1A6DAD"/>
          <w:kern w:val="0"/>
          <w:sz w:val="32"/>
          <w:szCs w:val="40"/>
          <w:lang w:val="mi-NZ" w:eastAsia="en-US" w:bidi="ar-SA"/>
          <w14:ligatures w14:val="none"/>
        </w:rPr>
        <w:t>Appendix</w:t>
      </w:r>
      <w:proofErr w:type="spellEnd"/>
      <w:r>
        <w:rPr>
          <w:rFonts w:ascii="Arial" w:eastAsia="Arial" w:hAnsi="Arial" w:cs="Angsana New"/>
          <w:b/>
          <w:color w:val="1A6DAD"/>
          <w:kern w:val="0"/>
          <w:sz w:val="32"/>
          <w:szCs w:val="40"/>
          <w:lang w:val="mi-NZ" w:eastAsia="en-US" w:bidi="ar-SA"/>
          <w14:ligatures w14:val="none"/>
        </w:rPr>
        <w:t xml:space="preserve"> E</w:t>
      </w:r>
      <w:r>
        <w:rPr>
          <w:rFonts w:ascii="Arial" w:eastAsia="Arial" w:hAnsi="Arial" w:cs="Angsana New"/>
          <w:b/>
          <w:color w:val="1A6DAD"/>
          <w:kern w:val="0"/>
          <w:sz w:val="32"/>
          <w:szCs w:val="40"/>
          <w:lang w:val="mi-NZ" w:eastAsia="en-US" w:bidi="ar-SA"/>
          <w14:ligatures w14:val="none"/>
        </w:rPr>
        <w:tab/>
      </w:r>
      <w:proofErr w:type="spellStart"/>
      <w:r w:rsidRPr="008F06CA">
        <w:rPr>
          <w:rFonts w:ascii="Arial" w:eastAsia="Arial" w:hAnsi="Arial" w:cs="Angsana New"/>
          <w:b/>
          <w:color w:val="1A6DAD"/>
          <w:kern w:val="0"/>
          <w:sz w:val="32"/>
          <w:szCs w:val="40"/>
          <w:lang w:val="mi-NZ" w:eastAsia="en-US" w:bidi="ar-SA"/>
          <w14:ligatures w14:val="none"/>
        </w:rPr>
        <w:t>Format</w:t>
      </w:r>
      <w:proofErr w:type="spellEnd"/>
      <w:r w:rsidRPr="008F06CA">
        <w:rPr>
          <w:rFonts w:ascii="Arial" w:eastAsia="Arial" w:hAnsi="Arial" w:cs="Angsana New"/>
          <w:b/>
          <w:color w:val="1A6DAD"/>
          <w:kern w:val="0"/>
          <w:sz w:val="32"/>
          <w:szCs w:val="40"/>
          <w:lang w:val="mi-NZ" w:eastAsia="en-US" w:bidi="ar-SA"/>
          <w14:ligatures w14:val="none"/>
        </w:rPr>
        <w:t xml:space="preserve"> for </w:t>
      </w:r>
      <w:proofErr w:type="spellStart"/>
      <w:r w:rsidRPr="008F06CA">
        <w:rPr>
          <w:rFonts w:ascii="Arial" w:eastAsia="Arial" w:hAnsi="Arial" w:cs="Angsana New"/>
          <w:b/>
          <w:color w:val="1A6DAD"/>
          <w:kern w:val="0"/>
          <w:sz w:val="32"/>
          <w:szCs w:val="40"/>
          <w:lang w:val="mi-NZ" w:eastAsia="en-US" w:bidi="ar-SA"/>
          <w14:ligatures w14:val="none"/>
        </w:rPr>
        <w:t>submissions</w:t>
      </w:r>
      <w:bookmarkEnd w:id="0"/>
      <w:bookmarkEnd w:id="1"/>
      <w:proofErr w:type="spellEnd"/>
    </w:p>
    <w:tbl>
      <w:tblPr>
        <w:tblStyle w:val="EATable2"/>
        <w:tblW w:w="0" w:type="auto"/>
        <w:tblBorders>
          <w:top w:val="single" w:sz="4" w:space="0" w:color="auto"/>
          <w:left w:val="single" w:sz="4" w:space="0" w:color="auto"/>
          <w:right w:val="single" w:sz="4" w:space="0" w:color="auto"/>
        </w:tblBorders>
        <w:tblLook w:val="04A0" w:firstRow="1" w:lastRow="0" w:firstColumn="1" w:lastColumn="0" w:noHBand="0" w:noVBand="1"/>
      </w:tblPr>
      <w:tblGrid>
        <w:gridCol w:w="3539"/>
        <w:gridCol w:w="5477"/>
      </w:tblGrid>
      <w:tr w:rsidR="008F06CA" w:rsidRPr="008F06CA" w14:paraId="20A07D6E" w14:textId="77777777" w:rsidTr="008F06CA">
        <w:trPr>
          <w:cnfStyle w:val="100000000000" w:firstRow="1" w:lastRow="0" w:firstColumn="0" w:lastColumn="0" w:oddVBand="0" w:evenVBand="0" w:oddHBand="0" w:evenHBand="0" w:firstRowFirstColumn="0" w:firstRowLastColumn="0" w:lastRowFirstColumn="0" w:lastRowLastColumn="0"/>
          <w:trHeight w:val="184"/>
        </w:trPr>
        <w:tc>
          <w:tcPr>
            <w:tcW w:w="3539" w:type="dxa"/>
          </w:tcPr>
          <w:p w14:paraId="2D68A09D" w14:textId="77777777" w:rsidR="008F06CA" w:rsidRPr="008F06CA" w:rsidRDefault="008F06CA" w:rsidP="008F06CA">
            <w:pPr>
              <w:spacing w:before="120" w:after="120" w:line="276" w:lineRule="auto"/>
              <w:rPr>
                <w:rFonts w:ascii="Arial" w:hAnsi="Arial" w:cs="Angsana New"/>
                <w:sz w:val="20"/>
                <w:szCs w:val="20"/>
              </w:rPr>
            </w:pPr>
            <w:r w:rsidRPr="008F06CA">
              <w:rPr>
                <w:rFonts w:ascii="Arial" w:hAnsi="Arial" w:cs="Angsana New"/>
                <w:sz w:val="20"/>
                <w:szCs w:val="20"/>
              </w:rPr>
              <w:t>Submitter</w:t>
            </w:r>
          </w:p>
        </w:tc>
        <w:tc>
          <w:tcPr>
            <w:tcW w:w="5477" w:type="dxa"/>
            <w:shd w:val="clear" w:color="auto" w:fill="F4F4F4"/>
          </w:tcPr>
          <w:p w14:paraId="21E67197" w14:textId="77777777" w:rsidR="008F06CA" w:rsidRPr="008F06CA" w:rsidRDefault="008F06CA" w:rsidP="008F06CA">
            <w:pPr>
              <w:spacing w:before="120" w:after="120" w:line="276" w:lineRule="auto"/>
              <w:rPr>
                <w:rFonts w:ascii="Arial" w:hAnsi="Arial" w:cs="Angsana New"/>
                <w:bCs/>
                <w:lang w:val="mi-NZ"/>
              </w:rPr>
            </w:pPr>
          </w:p>
        </w:tc>
      </w:tr>
    </w:tbl>
    <w:p w14:paraId="47F8BB0E" w14:textId="77777777" w:rsidR="008F06CA" w:rsidRPr="008F06CA" w:rsidRDefault="008F06CA" w:rsidP="008F06CA">
      <w:pPr>
        <w:spacing w:before="120" w:after="120" w:line="276" w:lineRule="auto"/>
        <w:rPr>
          <w:rFonts w:ascii="Arial" w:eastAsia="Arial" w:hAnsi="Arial" w:cs="Angsana New"/>
          <w:kern w:val="0"/>
          <w:sz w:val="22"/>
          <w:szCs w:val="22"/>
          <w:lang w:val="mi-NZ" w:eastAsia="en-US" w:bidi="ar-SA"/>
          <w14:ligatures w14:val="none"/>
        </w:rPr>
      </w:pPr>
    </w:p>
    <w:tbl>
      <w:tblPr>
        <w:tblStyle w:val="EATable2"/>
        <w:tblW w:w="0" w:type="auto"/>
        <w:tblLook w:val="04A0" w:firstRow="1" w:lastRow="0" w:firstColumn="1" w:lastColumn="0" w:noHBand="0" w:noVBand="1"/>
      </w:tblPr>
      <w:tblGrid>
        <w:gridCol w:w="3544"/>
        <w:gridCol w:w="5482"/>
      </w:tblGrid>
      <w:tr w:rsidR="008F06CA" w:rsidRPr="008F06CA" w14:paraId="4D287377" w14:textId="77777777" w:rsidTr="008F06CA">
        <w:trPr>
          <w:cnfStyle w:val="100000000000" w:firstRow="1" w:lastRow="0" w:firstColumn="0" w:lastColumn="0" w:oddVBand="0" w:evenVBand="0" w:oddHBand="0" w:evenHBand="0" w:firstRowFirstColumn="0" w:firstRowLastColumn="0" w:lastRowFirstColumn="0" w:lastRowLastColumn="0"/>
          <w:cantSplit/>
        </w:trPr>
        <w:tc>
          <w:tcPr>
            <w:tcW w:w="3544" w:type="dxa"/>
          </w:tcPr>
          <w:p w14:paraId="2C2CD69D" w14:textId="77777777" w:rsidR="008F06CA" w:rsidRPr="008F06CA" w:rsidRDefault="008F06CA" w:rsidP="008F06CA">
            <w:pPr>
              <w:spacing w:before="120" w:after="120" w:line="276" w:lineRule="auto"/>
              <w:rPr>
                <w:rFonts w:ascii="Arial" w:hAnsi="Arial" w:cs="Angsana New"/>
                <w:sz w:val="20"/>
                <w:szCs w:val="20"/>
              </w:rPr>
            </w:pPr>
            <w:r w:rsidRPr="008F06CA">
              <w:rPr>
                <w:rFonts w:ascii="Arial" w:hAnsi="Arial" w:cs="Angsana New"/>
                <w:sz w:val="20"/>
                <w:szCs w:val="20"/>
              </w:rPr>
              <w:t>Questions</w:t>
            </w:r>
          </w:p>
        </w:tc>
        <w:tc>
          <w:tcPr>
            <w:tcW w:w="5482" w:type="dxa"/>
          </w:tcPr>
          <w:p w14:paraId="4F32064C" w14:textId="77777777" w:rsidR="008F06CA" w:rsidRPr="008F06CA" w:rsidRDefault="008F06CA" w:rsidP="008F06CA">
            <w:pPr>
              <w:spacing w:before="120" w:after="120" w:line="276" w:lineRule="auto"/>
              <w:rPr>
                <w:rFonts w:ascii="Arial" w:hAnsi="Arial" w:cs="Angsana New"/>
                <w:sz w:val="20"/>
                <w:szCs w:val="20"/>
              </w:rPr>
            </w:pPr>
            <w:r w:rsidRPr="008F06CA">
              <w:rPr>
                <w:rFonts w:ascii="Arial" w:hAnsi="Arial" w:cs="Angsana New"/>
                <w:sz w:val="20"/>
                <w:szCs w:val="20"/>
              </w:rPr>
              <w:t>Comments</w:t>
            </w:r>
          </w:p>
        </w:tc>
      </w:tr>
      <w:tr w:rsidR="008F06CA" w:rsidRPr="008F06CA" w14:paraId="43201378" w14:textId="77777777" w:rsidTr="00611E4F">
        <w:trPr>
          <w:cnfStyle w:val="000000100000" w:firstRow="0" w:lastRow="0" w:firstColumn="0" w:lastColumn="0" w:oddVBand="0" w:evenVBand="0" w:oddHBand="1" w:evenHBand="0" w:firstRowFirstColumn="0" w:firstRowLastColumn="0" w:lastRowFirstColumn="0" w:lastRowLastColumn="0"/>
          <w:cantSplit/>
        </w:trPr>
        <w:tc>
          <w:tcPr>
            <w:tcW w:w="9026" w:type="dxa"/>
            <w:gridSpan w:val="2"/>
          </w:tcPr>
          <w:p w14:paraId="23E27E9D" w14:textId="77777777" w:rsidR="008F06CA" w:rsidRPr="008F06CA" w:rsidRDefault="008F06CA" w:rsidP="008F06CA">
            <w:pPr>
              <w:spacing w:before="120" w:after="120" w:line="276" w:lineRule="auto"/>
              <w:rPr>
                <w:rFonts w:ascii="Arial" w:hAnsi="Arial" w:cs="Angsana New"/>
                <w:b/>
                <w:bCs/>
                <w:sz w:val="20"/>
                <w:szCs w:val="20"/>
              </w:rPr>
            </w:pPr>
            <w:r w:rsidRPr="008F06CA">
              <w:rPr>
                <w:rFonts w:ascii="Arial" w:hAnsi="Arial" w:cs="Angsana New"/>
                <w:b/>
                <w:bCs/>
                <w:sz w:val="20"/>
                <w:szCs w:val="20"/>
              </w:rPr>
              <w:t xml:space="preserve">Problem definition — competition concerns from </w:t>
            </w:r>
            <w:proofErr w:type="spellStart"/>
            <w:r w:rsidRPr="008F06CA">
              <w:rPr>
                <w:rFonts w:ascii="Arial" w:hAnsi="Arial" w:cs="Angsana New"/>
                <w:b/>
                <w:bCs/>
                <w:sz w:val="20"/>
                <w:szCs w:val="20"/>
              </w:rPr>
              <w:t>Gentailer</w:t>
            </w:r>
            <w:proofErr w:type="spellEnd"/>
            <w:r w:rsidRPr="008F06CA">
              <w:rPr>
                <w:rFonts w:ascii="Arial" w:hAnsi="Arial" w:cs="Angsana New"/>
                <w:b/>
                <w:bCs/>
                <w:sz w:val="20"/>
                <w:szCs w:val="20"/>
              </w:rPr>
              <w:t xml:space="preserve"> vertical integration</w:t>
            </w:r>
          </w:p>
        </w:tc>
      </w:tr>
      <w:tr w:rsidR="008F06CA" w:rsidRPr="008F06CA" w14:paraId="7897D975" w14:textId="77777777" w:rsidTr="00611E4F">
        <w:trPr>
          <w:cnfStyle w:val="000000010000" w:firstRow="0" w:lastRow="0" w:firstColumn="0" w:lastColumn="0" w:oddVBand="0" w:evenVBand="0" w:oddHBand="0" w:evenHBand="1" w:firstRowFirstColumn="0" w:firstRowLastColumn="0" w:lastRowFirstColumn="0" w:lastRowLastColumn="0"/>
          <w:cantSplit/>
        </w:trPr>
        <w:tc>
          <w:tcPr>
            <w:tcW w:w="3544" w:type="dxa"/>
          </w:tcPr>
          <w:p w14:paraId="4097B28B" w14:textId="77777777" w:rsidR="008F06CA" w:rsidRPr="008F06CA" w:rsidRDefault="008F06CA" w:rsidP="008F06CA">
            <w:pPr>
              <w:spacing w:before="120" w:after="120" w:line="276" w:lineRule="auto"/>
              <w:rPr>
                <w:rFonts w:ascii="Arial" w:hAnsi="Arial" w:cs="Angsana New"/>
                <w:sz w:val="20"/>
                <w:szCs w:val="20"/>
              </w:rPr>
            </w:pPr>
            <w:r w:rsidRPr="008F06CA">
              <w:rPr>
                <w:rFonts w:ascii="Arial" w:hAnsi="Arial" w:cs="Angsana New"/>
                <w:color w:val="000000"/>
                <w:sz w:val="20"/>
                <w:szCs w:val="20"/>
              </w:rPr>
              <w:t>Q1. What are the benefits of vertical integration between generation and retail? Do you have any evidence to better specify and quantify these benefits? In particular, we are interested in benefits that would be realised by New Zealand’s electricity consumers.</w:t>
            </w:r>
          </w:p>
        </w:tc>
        <w:tc>
          <w:tcPr>
            <w:tcW w:w="5482" w:type="dxa"/>
          </w:tcPr>
          <w:p w14:paraId="16A95112" w14:textId="77777777" w:rsidR="008F06CA" w:rsidRPr="008F06CA" w:rsidRDefault="008F06CA" w:rsidP="008F06CA">
            <w:pPr>
              <w:spacing w:before="120" w:after="120" w:line="276" w:lineRule="auto"/>
              <w:rPr>
                <w:rFonts w:ascii="Arial" w:hAnsi="Arial" w:cs="Angsana New"/>
                <w:sz w:val="20"/>
                <w:szCs w:val="20"/>
              </w:rPr>
            </w:pPr>
          </w:p>
        </w:tc>
      </w:tr>
      <w:tr w:rsidR="008F06CA" w:rsidRPr="008F06CA" w14:paraId="05EE6C32" w14:textId="77777777" w:rsidTr="00611E4F">
        <w:trPr>
          <w:cnfStyle w:val="000000100000" w:firstRow="0" w:lastRow="0" w:firstColumn="0" w:lastColumn="0" w:oddVBand="0" w:evenVBand="0" w:oddHBand="1" w:evenHBand="0" w:firstRowFirstColumn="0" w:firstRowLastColumn="0" w:lastRowFirstColumn="0" w:lastRowLastColumn="0"/>
          <w:cantSplit/>
        </w:trPr>
        <w:tc>
          <w:tcPr>
            <w:tcW w:w="3544" w:type="dxa"/>
          </w:tcPr>
          <w:p w14:paraId="747E4700" w14:textId="77777777" w:rsidR="008F06CA" w:rsidRPr="008F06CA" w:rsidRDefault="008F06CA" w:rsidP="008F06CA">
            <w:pPr>
              <w:spacing w:before="120" w:after="120" w:line="276" w:lineRule="auto"/>
              <w:rPr>
                <w:rFonts w:ascii="Arial" w:hAnsi="Arial" w:cs="Angsana New"/>
                <w:sz w:val="20"/>
                <w:szCs w:val="20"/>
              </w:rPr>
            </w:pPr>
            <w:r w:rsidRPr="008F06CA">
              <w:rPr>
                <w:rFonts w:ascii="Arial" w:hAnsi="Arial" w:cs="Angsana New"/>
                <w:sz w:val="20"/>
                <w:szCs w:val="20"/>
              </w:rPr>
              <w:t xml:space="preserve">Q2. Do you agree with our description of the competition concerns that can arise from the combination of </w:t>
            </w:r>
            <w:proofErr w:type="spellStart"/>
            <w:r w:rsidRPr="008F06CA">
              <w:rPr>
                <w:rFonts w:ascii="Arial" w:hAnsi="Arial" w:cs="Angsana New"/>
                <w:sz w:val="20"/>
                <w:szCs w:val="20"/>
              </w:rPr>
              <w:t>Gentailer</w:t>
            </w:r>
            <w:proofErr w:type="spellEnd"/>
            <w:r w:rsidRPr="008F06CA">
              <w:rPr>
                <w:rFonts w:ascii="Arial" w:hAnsi="Arial" w:cs="Angsana New"/>
                <w:sz w:val="20"/>
                <w:szCs w:val="20"/>
              </w:rPr>
              <w:t xml:space="preserve"> vertical integration and market power? Why/why not? Do you have any evidence to better specify and quantify the competition risks of vertical integration?</w:t>
            </w:r>
          </w:p>
        </w:tc>
        <w:tc>
          <w:tcPr>
            <w:tcW w:w="5482" w:type="dxa"/>
          </w:tcPr>
          <w:p w14:paraId="2B76C19D" w14:textId="77777777" w:rsidR="008F06CA" w:rsidRPr="008F06CA" w:rsidRDefault="008F06CA" w:rsidP="008F06CA">
            <w:pPr>
              <w:spacing w:before="120" w:after="120" w:line="276" w:lineRule="auto"/>
              <w:rPr>
                <w:rFonts w:ascii="Arial" w:hAnsi="Arial" w:cs="Angsana New"/>
                <w:sz w:val="20"/>
                <w:szCs w:val="20"/>
              </w:rPr>
            </w:pPr>
          </w:p>
        </w:tc>
      </w:tr>
      <w:tr w:rsidR="008F06CA" w:rsidRPr="008F06CA" w14:paraId="7B72C11E" w14:textId="77777777" w:rsidTr="00611E4F">
        <w:trPr>
          <w:cnfStyle w:val="000000010000" w:firstRow="0" w:lastRow="0" w:firstColumn="0" w:lastColumn="0" w:oddVBand="0" w:evenVBand="0" w:oddHBand="0" w:evenHBand="1" w:firstRowFirstColumn="0" w:firstRowLastColumn="0" w:lastRowFirstColumn="0" w:lastRowLastColumn="0"/>
          <w:cantSplit/>
        </w:trPr>
        <w:tc>
          <w:tcPr>
            <w:tcW w:w="3544" w:type="dxa"/>
          </w:tcPr>
          <w:p w14:paraId="26B96A92" w14:textId="77777777" w:rsidR="008F06CA" w:rsidRPr="008F06CA" w:rsidRDefault="008F06CA" w:rsidP="008F06CA">
            <w:pPr>
              <w:spacing w:before="120" w:after="120" w:line="276" w:lineRule="auto"/>
              <w:rPr>
                <w:rFonts w:ascii="Arial" w:hAnsi="Arial" w:cs="Angsana New"/>
                <w:sz w:val="20"/>
                <w:szCs w:val="20"/>
              </w:rPr>
            </w:pPr>
            <w:r w:rsidRPr="008F06CA">
              <w:rPr>
                <w:rFonts w:ascii="Arial" w:hAnsi="Arial" w:cs="Angsana New"/>
                <w:sz w:val="20"/>
                <w:szCs w:val="20"/>
              </w:rPr>
              <w:t xml:space="preserve">Q3. To what extent does vertical integration of smaller </w:t>
            </w:r>
            <w:proofErr w:type="spellStart"/>
            <w:r w:rsidRPr="008F06CA">
              <w:rPr>
                <w:rFonts w:ascii="Arial" w:hAnsi="Arial" w:cs="Angsana New"/>
                <w:sz w:val="20"/>
                <w:szCs w:val="20"/>
              </w:rPr>
              <w:t>gentailers</w:t>
            </w:r>
            <w:proofErr w:type="spellEnd"/>
            <w:r w:rsidRPr="008F06CA">
              <w:rPr>
                <w:rFonts w:ascii="Arial" w:hAnsi="Arial" w:cs="Angsana New"/>
                <w:sz w:val="20"/>
                <w:szCs w:val="20"/>
              </w:rPr>
              <w:t xml:space="preserve">, such as Nova and Pulse, raise competition concerns? Should these smaller </w:t>
            </w:r>
            <w:proofErr w:type="spellStart"/>
            <w:r w:rsidRPr="008F06CA">
              <w:rPr>
                <w:rFonts w:ascii="Arial" w:hAnsi="Arial" w:cs="Angsana New"/>
                <w:sz w:val="20"/>
                <w:szCs w:val="20"/>
              </w:rPr>
              <w:t>gentailers</w:t>
            </w:r>
            <w:proofErr w:type="spellEnd"/>
            <w:r w:rsidRPr="008F06CA">
              <w:rPr>
                <w:rFonts w:ascii="Arial" w:hAnsi="Arial" w:cs="Angsana New"/>
                <w:sz w:val="20"/>
                <w:szCs w:val="20"/>
              </w:rPr>
              <w:t xml:space="preserve"> be subject to any proposed Level Playing Field measures?</w:t>
            </w:r>
          </w:p>
        </w:tc>
        <w:tc>
          <w:tcPr>
            <w:tcW w:w="5482" w:type="dxa"/>
          </w:tcPr>
          <w:p w14:paraId="323A238E" w14:textId="77777777" w:rsidR="008F06CA" w:rsidRPr="008F06CA" w:rsidRDefault="008F06CA" w:rsidP="008F06CA">
            <w:pPr>
              <w:spacing w:before="120" w:after="120" w:line="276" w:lineRule="auto"/>
              <w:rPr>
                <w:rFonts w:ascii="Arial" w:hAnsi="Arial" w:cs="Angsana New"/>
                <w:sz w:val="20"/>
                <w:szCs w:val="20"/>
              </w:rPr>
            </w:pPr>
          </w:p>
        </w:tc>
      </w:tr>
      <w:tr w:rsidR="008F06CA" w:rsidRPr="008F06CA" w14:paraId="74A50E9D" w14:textId="77777777" w:rsidTr="00611E4F">
        <w:trPr>
          <w:cnfStyle w:val="000000100000" w:firstRow="0" w:lastRow="0" w:firstColumn="0" w:lastColumn="0" w:oddVBand="0" w:evenVBand="0" w:oddHBand="1" w:evenHBand="0" w:firstRowFirstColumn="0" w:firstRowLastColumn="0" w:lastRowFirstColumn="0" w:lastRowLastColumn="0"/>
          <w:cantSplit/>
        </w:trPr>
        <w:tc>
          <w:tcPr>
            <w:tcW w:w="3544" w:type="dxa"/>
          </w:tcPr>
          <w:p w14:paraId="7C67A77D" w14:textId="77777777" w:rsidR="008F06CA" w:rsidRPr="008F06CA" w:rsidRDefault="008F06CA" w:rsidP="008F06CA">
            <w:pPr>
              <w:spacing w:before="120" w:after="120" w:line="276" w:lineRule="auto"/>
              <w:rPr>
                <w:rFonts w:ascii="Arial" w:hAnsi="Arial" w:cs="Angsana New"/>
                <w:sz w:val="20"/>
                <w:szCs w:val="20"/>
              </w:rPr>
            </w:pPr>
            <w:r w:rsidRPr="008F06CA">
              <w:rPr>
                <w:rFonts w:ascii="Arial" w:hAnsi="Arial" w:cs="Angsana New"/>
                <w:sz w:val="20"/>
                <w:szCs w:val="20"/>
              </w:rPr>
              <w:t xml:space="preserve">Q4. Are there other specific areas (other than access to hedges) where </w:t>
            </w:r>
            <w:proofErr w:type="spellStart"/>
            <w:r w:rsidRPr="008F06CA">
              <w:rPr>
                <w:rFonts w:ascii="Arial" w:hAnsi="Arial" w:cs="Angsana New"/>
                <w:sz w:val="20"/>
                <w:szCs w:val="20"/>
              </w:rPr>
              <w:t>Gentailer</w:t>
            </w:r>
            <w:proofErr w:type="spellEnd"/>
            <w:r w:rsidRPr="008F06CA">
              <w:rPr>
                <w:rFonts w:ascii="Arial" w:hAnsi="Arial" w:cs="Angsana New"/>
                <w:sz w:val="20"/>
                <w:szCs w:val="20"/>
              </w:rPr>
              <w:t xml:space="preserve"> market power and vertical integration are causing competition concerns?</w:t>
            </w:r>
          </w:p>
        </w:tc>
        <w:tc>
          <w:tcPr>
            <w:tcW w:w="5482" w:type="dxa"/>
          </w:tcPr>
          <w:p w14:paraId="2F914F89" w14:textId="77777777" w:rsidR="008F06CA" w:rsidRPr="008F06CA" w:rsidRDefault="008F06CA" w:rsidP="008F06CA">
            <w:pPr>
              <w:spacing w:before="120" w:after="120" w:line="276" w:lineRule="auto"/>
              <w:rPr>
                <w:rFonts w:ascii="Arial" w:hAnsi="Arial" w:cs="Angsana New"/>
                <w:sz w:val="20"/>
                <w:szCs w:val="20"/>
              </w:rPr>
            </w:pPr>
          </w:p>
        </w:tc>
      </w:tr>
      <w:tr w:rsidR="008F06CA" w:rsidRPr="008F06CA" w14:paraId="5A41323E" w14:textId="77777777" w:rsidTr="00611E4F">
        <w:trPr>
          <w:cnfStyle w:val="000000010000" w:firstRow="0" w:lastRow="0" w:firstColumn="0" w:lastColumn="0" w:oddVBand="0" w:evenVBand="0" w:oddHBand="0" w:evenHBand="1" w:firstRowFirstColumn="0" w:firstRowLastColumn="0" w:lastRowFirstColumn="0" w:lastRowLastColumn="0"/>
          <w:cantSplit/>
        </w:trPr>
        <w:tc>
          <w:tcPr>
            <w:tcW w:w="3544" w:type="dxa"/>
            <w:tcBorders>
              <w:bottom w:val="single" w:sz="4" w:space="0" w:color="auto"/>
            </w:tcBorders>
          </w:tcPr>
          <w:p w14:paraId="7B2E80B0" w14:textId="77777777" w:rsidR="008F06CA" w:rsidRPr="008F06CA" w:rsidRDefault="008F06CA" w:rsidP="008F06CA">
            <w:pPr>
              <w:spacing w:before="120" w:after="120" w:line="276" w:lineRule="auto"/>
              <w:rPr>
                <w:rFonts w:ascii="Arial" w:hAnsi="Arial" w:cs="Angsana New"/>
                <w:sz w:val="20"/>
                <w:szCs w:val="20"/>
              </w:rPr>
            </w:pPr>
            <w:r w:rsidRPr="008F06CA">
              <w:rPr>
                <w:rFonts w:ascii="Arial" w:hAnsi="Arial" w:cs="Angsana New"/>
                <w:sz w:val="20"/>
                <w:szCs w:val="20"/>
              </w:rPr>
              <w:t>Q5. Do you agree with our preliminary view that the evidence indicates there may be good reasons to introduce a proportionate Level Playing Field measure to address the competition risks in relation to hedging/firming? Why/why not?</w:t>
            </w:r>
          </w:p>
        </w:tc>
        <w:tc>
          <w:tcPr>
            <w:tcW w:w="5482" w:type="dxa"/>
            <w:tcBorders>
              <w:bottom w:val="single" w:sz="4" w:space="0" w:color="auto"/>
            </w:tcBorders>
          </w:tcPr>
          <w:p w14:paraId="420BD041" w14:textId="77777777" w:rsidR="008F06CA" w:rsidRPr="008F06CA" w:rsidRDefault="008F06CA" w:rsidP="008F06CA">
            <w:pPr>
              <w:spacing w:before="120" w:after="120" w:line="276" w:lineRule="auto"/>
              <w:rPr>
                <w:rFonts w:ascii="Arial" w:hAnsi="Arial" w:cs="Angsana New"/>
                <w:sz w:val="20"/>
                <w:szCs w:val="20"/>
              </w:rPr>
            </w:pPr>
          </w:p>
        </w:tc>
      </w:tr>
      <w:tr w:rsidR="008F06CA" w:rsidRPr="008F06CA" w14:paraId="0844BB36" w14:textId="77777777" w:rsidTr="00611E4F">
        <w:trPr>
          <w:cnfStyle w:val="000000100000" w:firstRow="0" w:lastRow="0" w:firstColumn="0" w:lastColumn="0" w:oddVBand="0" w:evenVBand="0" w:oddHBand="1" w:evenHBand="0" w:firstRowFirstColumn="0" w:firstRowLastColumn="0" w:lastRowFirstColumn="0" w:lastRowLastColumn="0"/>
          <w:cantSplit/>
        </w:trPr>
        <w:tc>
          <w:tcPr>
            <w:tcW w:w="9026" w:type="dxa"/>
            <w:gridSpan w:val="2"/>
            <w:tcBorders>
              <w:top w:val="single" w:sz="4" w:space="0" w:color="auto"/>
            </w:tcBorders>
          </w:tcPr>
          <w:p w14:paraId="12314C31" w14:textId="77777777" w:rsidR="008F06CA" w:rsidRPr="008F06CA" w:rsidRDefault="008F06CA" w:rsidP="008F06CA">
            <w:pPr>
              <w:keepNext/>
              <w:spacing w:before="120" w:after="120" w:line="276" w:lineRule="auto"/>
              <w:rPr>
                <w:rFonts w:ascii="Arial" w:hAnsi="Arial" w:cs="Angsana New"/>
                <w:b/>
                <w:bCs/>
                <w:sz w:val="20"/>
                <w:szCs w:val="20"/>
              </w:rPr>
            </w:pPr>
            <w:r w:rsidRPr="008F06CA">
              <w:rPr>
                <w:rFonts w:ascii="Arial" w:hAnsi="Arial" w:cs="Angsana New"/>
                <w:b/>
                <w:bCs/>
                <w:sz w:val="20"/>
                <w:szCs w:val="20"/>
              </w:rPr>
              <w:lastRenderedPageBreak/>
              <w:t>Level Playing Field options we have identified</w:t>
            </w:r>
          </w:p>
        </w:tc>
      </w:tr>
      <w:tr w:rsidR="008F06CA" w:rsidRPr="008F06CA" w14:paraId="43044DEC" w14:textId="77777777" w:rsidTr="00611E4F">
        <w:trPr>
          <w:cnfStyle w:val="000000010000" w:firstRow="0" w:lastRow="0" w:firstColumn="0" w:lastColumn="0" w:oddVBand="0" w:evenVBand="0" w:oddHBand="0" w:evenHBand="1" w:firstRowFirstColumn="0" w:firstRowLastColumn="0" w:lastRowFirstColumn="0" w:lastRowLastColumn="0"/>
          <w:cantSplit/>
        </w:trPr>
        <w:tc>
          <w:tcPr>
            <w:tcW w:w="3544" w:type="dxa"/>
          </w:tcPr>
          <w:p w14:paraId="4FCEBE10" w14:textId="77777777" w:rsidR="008F06CA" w:rsidRPr="008F06CA" w:rsidRDefault="008F06CA" w:rsidP="008F06CA">
            <w:pPr>
              <w:spacing w:before="120" w:after="120" w:line="276" w:lineRule="auto"/>
              <w:rPr>
                <w:rFonts w:ascii="Arial" w:hAnsi="Arial" w:cs="Angsana New"/>
                <w:sz w:val="20"/>
                <w:szCs w:val="20"/>
              </w:rPr>
            </w:pPr>
            <w:r w:rsidRPr="008F06CA">
              <w:rPr>
                <w:rFonts w:ascii="Arial" w:hAnsi="Arial" w:cs="Angsana New"/>
                <w:sz w:val="20"/>
                <w:szCs w:val="20"/>
              </w:rPr>
              <w:t>Q6. Have we focused on the right Level Playing Field options? Are there other options that we should add or remove to the list in paragraph 4.1?</w:t>
            </w:r>
          </w:p>
        </w:tc>
        <w:tc>
          <w:tcPr>
            <w:tcW w:w="5482" w:type="dxa"/>
          </w:tcPr>
          <w:p w14:paraId="495E5589" w14:textId="77777777" w:rsidR="008F06CA" w:rsidRPr="008F06CA" w:rsidRDefault="008F06CA" w:rsidP="008F06CA">
            <w:pPr>
              <w:spacing w:before="120" w:after="120" w:line="276" w:lineRule="auto"/>
              <w:rPr>
                <w:rFonts w:ascii="Arial" w:hAnsi="Arial" w:cs="Angsana New"/>
                <w:sz w:val="20"/>
                <w:szCs w:val="20"/>
              </w:rPr>
            </w:pPr>
          </w:p>
        </w:tc>
      </w:tr>
      <w:tr w:rsidR="008F06CA" w:rsidRPr="008F06CA" w14:paraId="21E3B744" w14:textId="77777777" w:rsidTr="00611E4F">
        <w:trPr>
          <w:cnfStyle w:val="000000100000" w:firstRow="0" w:lastRow="0" w:firstColumn="0" w:lastColumn="0" w:oddVBand="0" w:evenVBand="0" w:oddHBand="1" w:evenHBand="0" w:firstRowFirstColumn="0" w:firstRowLastColumn="0" w:lastRowFirstColumn="0" w:lastRowLastColumn="0"/>
          <w:cantSplit/>
        </w:trPr>
        <w:tc>
          <w:tcPr>
            <w:tcW w:w="3544" w:type="dxa"/>
          </w:tcPr>
          <w:p w14:paraId="172E38D1" w14:textId="77777777" w:rsidR="008F06CA" w:rsidRPr="008F06CA" w:rsidRDefault="008F06CA" w:rsidP="008F06CA">
            <w:pPr>
              <w:spacing w:before="120" w:after="120" w:line="276" w:lineRule="auto"/>
              <w:rPr>
                <w:rFonts w:ascii="Arial" w:hAnsi="Arial" w:cs="Angsana New"/>
                <w:sz w:val="20"/>
                <w:szCs w:val="20"/>
              </w:rPr>
            </w:pPr>
            <w:r w:rsidRPr="008F06CA">
              <w:rPr>
                <w:rFonts w:ascii="Arial" w:hAnsi="Arial" w:cs="Angsana New"/>
                <w:sz w:val="20"/>
                <w:szCs w:val="20"/>
              </w:rPr>
              <w:t>Q7. Are there any other important factors we should consider when identifying options (see paragraphs 4.2 to 4.5)?</w:t>
            </w:r>
          </w:p>
        </w:tc>
        <w:tc>
          <w:tcPr>
            <w:tcW w:w="5482" w:type="dxa"/>
          </w:tcPr>
          <w:p w14:paraId="63467AD9" w14:textId="77777777" w:rsidR="008F06CA" w:rsidRPr="008F06CA" w:rsidRDefault="008F06CA" w:rsidP="008F06CA">
            <w:pPr>
              <w:spacing w:before="120" w:after="120" w:line="276" w:lineRule="auto"/>
              <w:rPr>
                <w:rFonts w:ascii="Arial" w:hAnsi="Arial" w:cs="Angsana New"/>
                <w:sz w:val="20"/>
                <w:szCs w:val="20"/>
              </w:rPr>
            </w:pPr>
          </w:p>
        </w:tc>
      </w:tr>
      <w:tr w:rsidR="008F06CA" w:rsidRPr="008F06CA" w14:paraId="31A5A0CE" w14:textId="77777777" w:rsidTr="00611E4F">
        <w:trPr>
          <w:cnfStyle w:val="000000010000" w:firstRow="0" w:lastRow="0" w:firstColumn="0" w:lastColumn="0" w:oddVBand="0" w:evenVBand="0" w:oddHBand="0" w:evenHBand="1" w:firstRowFirstColumn="0" w:firstRowLastColumn="0" w:lastRowFirstColumn="0" w:lastRowLastColumn="0"/>
          <w:cantSplit/>
        </w:trPr>
        <w:tc>
          <w:tcPr>
            <w:tcW w:w="3544" w:type="dxa"/>
          </w:tcPr>
          <w:p w14:paraId="37FA7CC7" w14:textId="77777777" w:rsidR="008F06CA" w:rsidRPr="008F06CA" w:rsidRDefault="008F06CA" w:rsidP="008F06CA">
            <w:pPr>
              <w:spacing w:before="120" w:after="120" w:line="276" w:lineRule="auto"/>
              <w:rPr>
                <w:rFonts w:ascii="Arial" w:hAnsi="Arial" w:cs="Angsana New"/>
                <w:sz w:val="20"/>
                <w:szCs w:val="20"/>
              </w:rPr>
            </w:pPr>
            <w:r w:rsidRPr="008F06CA">
              <w:rPr>
                <w:rFonts w:ascii="Arial" w:hAnsi="Arial" w:cs="Angsana New"/>
                <w:sz w:val="20"/>
                <w:szCs w:val="20"/>
              </w:rPr>
              <w:t>Q8. Are there other key features, pros or cons we should consider in our description of the four Level Playing Field options?</w:t>
            </w:r>
          </w:p>
        </w:tc>
        <w:tc>
          <w:tcPr>
            <w:tcW w:w="5482" w:type="dxa"/>
          </w:tcPr>
          <w:p w14:paraId="1F91A64D" w14:textId="77777777" w:rsidR="008F06CA" w:rsidRPr="008F06CA" w:rsidRDefault="008F06CA" w:rsidP="008F06CA">
            <w:pPr>
              <w:spacing w:before="120" w:after="120" w:line="276" w:lineRule="auto"/>
              <w:rPr>
                <w:rFonts w:ascii="Arial" w:hAnsi="Arial" w:cs="Angsana New"/>
                <w:sz w:val="20"/>
                <w:szCs w:val="20"/>
              </w:rPr>
            </w:pPr>
          </w:p>
        </w:tc>
      </w:tr>
      <w:tr w:rsidR="008F06CA" w:rsidRPr="008F06CA" w14:paraId="16F3D402" w14:textId="77777777" w:rsidTr="00611E4F">
        <w:trPr>
          <w:cnfStyle w:val="000000100000" w:firstRow="0" w:lastRow="0" w:firstColumn="0" w:lastColumn="0" w:oddVBand="0" w:evenVBand="0" w:oddHBand="1" w:evenHBand="0" w:firstRowFirstColumn="0" w:firstRowLastColumn="0" w:lastRowFirstColumn="0" w:lastRowLastColumn="0"/>
          <w:cantSplit/>
        </w:trPr>
        <w:tc>
          <w:tcPr>
            <w:tcW w:w="9026" w:type="dxa"/>
            <w:gridSpan w:val="2"/>
          </w:tcPr>
          <w:p w14:paraId="3A16C798" w14:textId="77777777" w:rsidR="008F06CA" w:rsidRPr="008F06CA" w:rsidRDefault="008F06CA" w:rsidP="008F06CA">
            <w:pPr>
              <w:spacing w:before="120" w:after="120" w:line="276" w:lineRule="auto"/>
              <w:rPr>
                <w:rFonts w:ascii="Arial" w:hAnsi="Arial" w:cs="Angsana New"/>
                <w:b/>
                <w:bCs/>
                <w:sz w:val="20"/>
                <w:szCs w:val="20"/>
              </w:rPr>
            </w:pPr>
            <w:r w:rsidRPr="008F06CA">
              <w:rPr>
                <w:rFonts w:ascii="Arial" w:hAnsi="Arial" w:cs="Angsana New"/>
                <w:b/>
                <w:bCs/>
                <w:sz w:val="20"/>
                <w:szCs w:val="20"/>
              </w:rPr>
              <w:t>Our assessment of Level Playing Field options</w:t>
            </w:r>
          </w:p>
        </w:tc>
      </w:tr>
      <w:tr w:rsidR="008F06CA" w:rsidRPr="008F06CA" w14:paraId="7B08FECD" w14:textId="77777777" w:rsidTr="00611E4F">
        <w:trPr>
          <w:cnfStyle w:val="000000010000" w:firstRow="0" w:lastRow="0" w:firstColumn="0" w:lastColumn="0" w:oddVBand="0" w:evenVBand="0" w:oddHBand="0" w:evenHBand="1" w:firstRowFirstColumn="0" w:firstRowLastColumn="0" w:lastRowFirstColumn="0" w:lastRowLastColumn="0"/>
          <w:cantSplit/>
        </w:trPr>
        <w:tc>
          <w:tcPr>
            <w:tcW w:w="3544" w:type="dxa"/>
          </w:tcPr>
          <w:p w14:paraId="231916A3" w14:textId="77777777" w:rsidR="008F06CA" w:rsidRPr="008F06CA" w:rsidRDefault="008F06CA" w:rsidP="008F06CA">
            <w:pPr>
              <w:spacing w:before="120" w:after="120" w:line="276" w:lineRule="auto"/>
              <w:rPr>
                <w:rFonts w:ascii="Arial" w:hAnsi="Arial" w:cs="Angsana New"/>
                <w:color w:val="000000"/>
                <w:sz w:val="20"/>
                <w:szCs w:val="20"/>
              </w:rPr>
            </w:pPr>
            <w:r w:rsidRPr="008F06CA">
              <w:rPr>
                <w:rFonts w:ascii="Arial" w:hAnsi="Arial" w:cs="Angsana New"/>
                <w:color w:val="000000"/>
                <w:sz w:val="20"/>
                <w:szCs w:val="20"/>
              </w:rPr>
              <w:t>Q9. Have we identified the right criteria for assessing Level Playing Field options (Figure 6)? Is there anything we should add or remove?</w:t>
            </w:r>
          </w:p>
        </w:tc>
        <w:tc>
          <w:tcPr>
            <w:tcW w:w="5482" w:type="dxa"/>
          </w:tcPr>
          <w:p w14:paraId="148630C0" w14:textId="77777777" w:rsidR="008F06CA" w:rsidRPr="008F06CA" w:rsidRDefault="008F06CA" w:rsidP="008F06CA">
            <w:pPr>
              <w:spacing w:before="120" w:after="120" w:line="276" w:lineRule="auto"/>
              <w:rPr>
                <w:rFonts w:ascii="Arial" w:hAnsi="Arial" w:cs="Angsana New"/>
                <w:sz w:val="20"/>
                <w:szCs w:val="20"/>
              </w:rPr>
            </w:pPr>
          </w:p>
        </w:tc>
      </w:tr>
      <w:tr w:rsidR="008F06CA" w:rsidRPr="008F06CA" w14:paraId="5C3D13DF" w14:textId="77777777" w:rsidTr="00611E4F">
        <w:trPr>
          <w:cnfStyle w:val="000000100000" w:firstRow="0" w:lastRow="0" w:firstColumn="0" w:lastColumn="0" w:oddVBand="0" w:evenVBand="0" w:oddHBand="1" w:evenHBand="0" w:firstRowFirstColumn="0" w:firstRowLastColumn="0" w:lastRowFirstColumn="0" w:lastRowLastColumn="0"/>
          <w:cantSplit/>
        </w:trPr>
        <w:tc>
          <w:tcPr>
            <w:tcW w:w="3544" w:type="dxa"/>
          </w:tcPr>
          <w:p w14:paraId="23240280" w14:textId="77777777" w:rsidR="008F06CA" w:rsidRPr="008F06CA" w:rsidRDefault="008F06CA" w:rsidP="008F06CA">
            <w:pPr>
              <w:spacing w:before="120" w:after="120" w:line="276" w:lineRule="auto"/>
              <w:rPr>
                <w:rFonts w:ascii="Arial" w:hAnsi="Arial" w:cs="Angsana New"/>
                <w:color w:val="000000"/>
                <w:sz w:val="20"/>
                <w:szCs w:val="20"/>
              </w:rPr>
            </w:pPr>
            <w:r w:rsidRPr="008F06CA">
              <w:rPr>
                <w:rFonts w:ascii="Arial" w:hAnsi="Arial" w:cs="Angsana New"/>
                <w:color w:val="000000"/>
                <w:sz w:val="20"/>
                <w:szCs w:val="20"/>
              </w:rPr>
              <w:t>Q10. Do you agree with our application of the assessment criteria (Table 5)? Are changes needed to the colour coding or reasoning?</w:t>
            </w:r>
          </w:p>
        </w:tc>
        <w:tc>
          <w:tcPr>
            <w:tcW w:w="5482" w:type="dxa"/>
          </w:tcPr>
          <w:p w14:paraId="37809E13" w14:textId="77777777" w:rsidR="008F06CA" w:rsidRPr="008F06CA" w:rsidRDefault="008F06CA" w:rsidP="008F06CA">
            <w:pPr>
              <w:spacing w:before="120" w:after="120" w:line="276" w:lineRule="auto"/>
              <w:rPr>
                <w:rFonts w:ascii="Arial" w:hAnsi="Arial" w:cs="Angsana New"/>
                <w:sz w:val="20"/>
                <w:szCs w:val="20"/>
              </w:rPr>
            </w:pPr>
          </w:p>
        </w:tc>
      </w:tr>
      <w:tr w:rsidR="008F06CA" w:rsidRPr="008F06CA" w14:paraId="54ECCA21" w14:textId="77777777" w:rsidTr="00611E4F">
        <w:trPr>
          <w:cnfStyle w:val="000000010000" w:firstRow="0" w:lastRow="0" w:firstColumn="0" w:lastColumn="0" w:oddVBand="0" w:evenVBand="0" w:oddHBand="0" w:evenHBand="1" w:firstRowFirstColumn="0" w:firstRowLastColumn="0" w:lastRowFirstColumn="0" w:lastRowLastColumn="0"/>
          <w:cantSplit/>
        </w:trPr>
        <w:tc>
          <w:tcPr>
            <w:tcW w:w="3544" w:type="dxa"/>
          </w:tcPr>
          <w:p w14:paraId="2E302B1A" w14:textId="77777777" w:rsidR="008F06CA" w:rsidRPr="008F06CA" w:rsidRDefault="008F06CA" w:rsidP="008F06CA">
            <w:pPr>
              <w:spacing w:before="120" w:after="120" w:line="276" w:lineRule="auto"/>
              <w:rPr>
                <w:rFonts w:ascii="Arial" w:hAnsi="Arial" w:cs="Angsana New"/>
                <w:color w:val="000000"/>
                <w:sz w:val="20"/>
                <w:szCs w:val="20"/>
              </w:rPr>
            </w:pPr>
            <w:r w:rsidRPr="008F06CA">
              <w:rPr>
                <w:rFonts w:ascii="Arial" w:hAnsi="Arial" w:cs="Angsana New"/>
                <w:color w:val="000000"/>
                <w:sz w:val="20"/>
                <w:szCs w:val="20"/>
              </w:rPr>
              <w:t xml:space="preserve">Q11. Are there any other material benefits or risks that should be considered (but are currently not) in our assessment of options? </w:t>
            </w:r>
          </w:p>
        </w:tc>
        <w:tc>
          <w:tcPr>
            <w:tcW w:w="5482" w:type="dxa"/>
          </w:tcPr>
          <w:p w14:paraId="08F25D2A" w14:textId="77777777" w:rsidR="008F06CA" w:rsidRPr="008F06CA" w:rsidRDefault="008F06CA" w:rsidP="008F06CA">
            <w:pPr>
              <w:spacing w:before="120" w:after="120" w:line="276" w:lineRule="auto"/>
              <w:rPr>
                <w:rFonts w:ascii="Arial" w:hAnsi="Arial" w:cs="Angsana New"/>
                <w:sz w:val="20"/>
                <w:szCs w:val="20"/>
              </w:rPr>
            </w:pPr>
          </w:p>
        </w:tc>
      </w:tr>
      <w:tr w:rsidR="008F06CA" w:rsidRPr="008F06CA" w14:paraId="545608C2" w14:textId="77777777" w:rsidTr="00611E4F">
        <w:trPr>
          <w:cnfStyle w:val="000000100000" w:firstRow="0" w:lastRow="0" w:firstColumn="0" w:lastColumn="0" w:oddVBand="0" w:evenVBand="0" w:oddHBand="1" w:evenHBand="0" w:firstRowFirstColumn="0" w:firstRowLastColumn="0" w:lastRowFirstColumn="0" w:lastRowLastColumn="0"/>
          <w:cantSplit/>
        </w:trPr>
        <w:tc>
          <w:tcPr>
            <w:tcW w:w="3544" w:type="dxa"/>
          </w:tcPr>
          <w:p w14:paraId="1B1344D5" w14:textId="77777777" w:rsidR="008F06CA" w:rsidRPr="008F06CA" w:rsidRDefault="008F06CA" w:rsidP="008F06CA">
            <w:pPr>
              <w:spacing w:before="120" w:after="120" w:line="276" w:lineRule="auto"/>
              <w:rPr>
                <w:rFonts w:ascii="Arial" w:hAnsi="Arial" w:cs="Angsana New"/>
                <w:color w:val="000000"/>
                <w:sz w:val="20"/>
                <w:szCs w:val="20"/>
              </w:rPr>
            </w:pPr>
            <w:r w:rsidRPr="008F06CA">
              <w:rPr>
                <w:rFonts w:ascii="Arial" w:hAnsi="Arial" w:cs="Angsana New"/>
                <w:color w:val="000000"/>
                <w:sz w:val="20"/>
                <w:szCs w:val="20"/>
              </w:rPr>
              <w:t>Q12. Do you agree with our selection of non-discrimination obligations as our preferred Level Playing Field measure? Why/why not?</w:t>
            </w:r>
          </w:p>
        </w:tc>
        <w:tc>
          <w:tcPr>
            <w:tcW w:w="5482" w:type="dxa"/>
          </w:tcPr>
          <w:p w14:paraId="4D4467FC" w14:textId="77777777" w:rsidR="008F06CA" w:rsidRPr="008F06CA" w:rsidRDefault="008F06CA" w:rsidP="008F06CA">
            <w:pPr>
              <w:spacing w:before="120" w:after="120" w:line="276" w:lineRule="auto"/>
              <w:rPr>
                <w:rFonts w:ascii="Arial" w:hAnsi="Arial" w:cs="Angsana New"/>
                <w:sz w:val="20"/>
                <w:szCs w:val="20"/>
              </w:rPr>
            </w:pPr>
          </w:p>
        </w:tc>
      </w:tr>
      <w:tr w:rsidR="008F06CA" w:rsidRPr="008F06CA" w14:paraId="69CF4B0E" w14:textId="77777777" w:rsidTr="00611E4F">
        <w:trPr>
          <w:cnfStyle w:val="000000010000" w:firstRow="0" w:lastRow="0" w:firstColumn="0" w:lastColumn="0" w:oddVBand="0" w:evenVBand="0" w:oddHBand="0" w:evenHBand="1" w:firstRowFirstColumn="0" w:firstRowLastColumn="0" w:lastRowFirstColumn="0" w:lastRowLastColumn="0"/>
          <w:cantSplit/>
        </w:trPr>
        <w:tc>
          <w:tcPr>
            <w:tcW w:w="9026" w:type="dxa"/>
            <w:gridSpan w:val="2"/>
          </w:tcPr>
          <w:p w14:paraId="039AEEFE" w14:textId="77777777" w:rsidR="008F06CA" w:rsidRPr="008F06CA" w:rsidRDefault="008F06CA" w:rsidP="008F06CA">
            <w:pPr>
              <w:spacing w:before="120" w:after="120" w:line="276" w:lineRule="auto"/>
              <w:rPr>
                <w:rFonts w:ascii="Arial" w:hAnsi="Arial" w:cs="Angsana New"/>
                <w:b/>
                <w:bCs/>
                <w:sz w:val="20"/>
                <w:szCs w:val="20"/>
              </w:rPr>
            </w:pPr>
            <w:r w:rsidRPr="008F06CA">
              <w:rPr>
                <w:rFonts w:ascii="Arial" w:hAnsi="Arial" w:cs="Angsana New"/>
                <w:b/>
                <w:bCs/>
                <w:sz w:val="20"/>
                <w:szCs w:val="20"/>
              </w:rPr>
              <w:t>Roadmap for implementing non-discrimination obligations</w:t>
            </w:r>
          </w:p>
        </w:tc>
      </w:tr>
      <w:tr w:rsidR="008F06CA" w:rsidRPr="008F06CA" w14:paraId="5F73BB30" w14:textId="77777777" w:rsidTr="00611E4F">
        <w:trPr>
          <w:cnfStyle w:val="000000100000" w:firstRow="0" w:lastRow="0" w:firstColumn="0" w:lastColumn="0" w:oddVBand="0" w:evenVBand="0" w:oddHBand="1" w:evenHBand="0" w:firstRowFirstColumn="0" w:firstRowLastColumn="0" w:lastRowFirstColumn="0" w:lastRowLastColumn="0"/>
          <w:cantSplit/>
        </w:trPr>
        <w:tc>
          <w:tcPr>
            <w:tcW w:w="3544" w:type="dxa"/>
          </w:tcPr>
          <w:p w14:paraId="507F4E8C" w14:textId="77777777" w:rsidR="008F06CA" w:rsidRPr="008F06CA" w:rsidRDefault="008F06CA" w:rsidP="008F06CA">
            <w:pPr>
              <w:spacing w:before="120" w:after="120" w:line="276" w:lineRule="auto"/>
              <w:rPr>
                <w:rFonts w:ascii="Arial" w:hAnsi="Arial" w:cs="Angsana New"/>
                <w:color w:val="000000"/>
                <w:sz w:val="20"/>
                <w:szCs w:val="20"/>
              </w:rPr>
            </w:pPr>
            <w:r w:rsidRPr="008F06CA">
              <w:rPr>
                <w:rFonts w:ascii="Arial" w:hAnsi="Arial" w:cs="Angsana New"/>
                <w:color w:val="000000"/>
                <w:sz w:val="20"/>
                <w:szCs w:val="20"/>
              </w:rPr>
              <w:t>Q13. What are your views on our proposed roadmap for the implementation of non-discrimination obligations?</w:t>
            </w:r>
          </w:p>
        </w:tc>
        <w:tc>
          <w:tcPr>
            <w:tcW w:w="5482" w:type="dxa"/>
          </w:tcPr>
          <w:p w14:paraId="3EF5315E" w14:textId="77777777" w:rsidR="008F06CA" w:rsidRPr="008F06CA" w:rsidRDefault="008F06CA" w:rsidP="008F06CA">
            <w:pPr>
              <w:spacing w:before="120" w:after="120" w:line="276" w:lineRule="auto"/>
              <w:rPr>
                <w:rFonts w:ascii="Arial" w:hAnsi="Arial" w:cs="Angsana New"/>
                <w:sz w:val="20"/>
                <w:szCs w:val="20"/>
              </w:rPr>
            </w:pPr>
          </w:p>
        </w:tc>
      </w:tr>
      <w:tr w:rsidR="008F06CA" w:rsidRPr="008F06CA" w14:paraId="70750FBF" w14:textId="77777777" w:rsidTr="00611E4F">
        <w:trPr>
          <w:cnfStyle w:val="000000010000" w:firstRow="0" w:lastRow="0" w:firstColumn="0" w:lastColumn="0" w:oddVBand="0" w:evenVBand="0" w:oddHBand="0" w:evenHBand="1" w:firstRowFirstColumn="0" w:firstRowLastColumn="0" w:lastRowFirstColumn="0" w:lastRowLastColumn="0"/>
          <w:cantSplit/>
        </w:trPr>
        <w:tc>
          <w:tcPr>
            <w:tcW w:w="3544" w:type="dxa"/>
          </w:tcPr>
          <w:p w14:paraId="75E10AAF" w14:textId="77777777" w:rsidR="008F06CA" w:rsidRPr="008F06CA" w:rsidRDefault="008F06CA" w:rsidP="008F06CA">
            <w:pPr>
              <w:spacing w:before="120" w:after="120" w:line="276" w:lineRule="auto"/>
              <w:rPr>
                <w:rFonts w:ascii="Arial" w:hAnsi="Arial" w:cs="Angsana New"/>
                <w:color w:val="000000"/>
                <w:sz w:val="20"/>
                <w:szCs w:val="20"/>
              </w:rPr>
            </w:pPr>
            <w:r w:rsidRPr="008F06CA">
              <w:rPr>
                <w:rFonts w:ascii="Arial" w:hAnsi="Arial" w:cs="Angsana New"/>
                <w:color w:val="000000"/>
                <w:sz w:val="20"/>
                <w:szCs w:val="20"/>
              </w:rPr>
              <w:lastRenderedPageBreak/>
              <w:t xml:space="preserve">Q14. Which products should any non-discrimination obligations apply to? Should all hedge contracts be captured, or should the rules be focused on super-peak hedges only? Are there are other interactions between </w:t>
            </w:r>
            <w:proofErr w:type="spellStart"/>
            <w:r w:rsidRPr="008F06CA">
              <w:rPr>
                <w:rFonts w:ascii="Arial" w:hAnsi="Arial" w:cs="Angsana New"/>
                <w:color w:val="000000"/>
                <w:sz w:val="20"/>
                <w:szCs w:val="20"/>
              </w:rPr>
              <w:t>Gentailers</w:t>
            </w:r>
            <w:proofErr w:type="spellEnd"/>
            <w:r w:rsidRPr="008F06CA">
              <w:rPr>
                <w:rFonts w:ascii="Arial" w:hAnsi="Arial" w:cs="Angsana New"/>
                <w:color w:val="000000"/>
                <w:sz w:val="20"/>
                <w:szCs w:val="20"/>
              </w:rPr>
              <w:t xml:space="preserve"> and their competitors which would benefit from non-discrimination rules?</w:t>
            </w:r>
          </w:p>
        </w:tc>
        <w:tc>
          <w:tcPr>
            <w:tcW w:w="5482" w:type="dxa"/>
          </w:tcPr>
          <w:p w14:paraId="5563CB24" w14:textId="77777777" w:rsidR="008F06CA" w:rsidRPr="008F06CA" w:rsidRDefault="008F06CA" w:rsidP="008F06CA">
            <w:pPr>
              <w:spacing w:before="120" w:after="120" w:line="276" w:lineRule="auto"/>
              <w:rPr>
                <w:rFonts w:ascii="Arial" w:hAnsi="Arial" w:cs="Angsana New"/>
                <w:sz w:val="20"/>
                <w:szCs w:val="20"/>
              </w:rPr>
            </w:pPr>
          </w:p>
        </w:tc>
      </w:tr>
      <w:tr w:rsidR="008F06CA" w:rsidRPr="008F06CA" w14:paraId="73EFCF4B" w14:textId="77777777" w:rsidTr="00611E4F">
        <w:trPr>
          <w:cnfStyle w:val="000000100000" w:firstRow="0" w:lastRow="0" w:firstColumn="0" w:lastColumn="0" w:oddVBand="0" w:evenVBand="0" w:oddHBand="1" w:evenHBand="0" w:firstRowFirstColumn="0" w:firstRowLastColumn="0" w:lastRowFirstColumn="0" w:lastRowLastColumn="0"/>
          <w:cantSplit/>
        </w:trPr>
        <w:tc>
          <w:tcPr>
            <w:tcW w:w="3544" w:type="dxa"/>
          </w:tcPr>
          <w:p w14:paraId="55EA1343" w14:textId="77777777" w:rsidR="008F06CA" w:rsidRPr="008F06CA" w:rsidRDefault="008F06CA" w:rsidP="008F06CA">
            <w:pPr>
              <w:spacing w:before="120" w:after="120" w:line="276" w:lineRule="auto"/>
              <w:rPr>
                <w:rFonts w:ascii="Arial" w:hAnsi="Arial" w:cs="Angsana New"/>
                <w:color w:val="000000"/>
                <w:sz w:val="20"/>
                <w:szCs w:val="20"/>
              </w:rPr>
            </w:pPr>
            <w:r w:rsidRPr="008F06CA">
              <w:rPr>
                <w:rFonts w:ascii="Arial" w:hAnsi="Arial" w:cs="Angsana New"/>
                <w:color w:val="000000"/>
                <w:sz w:val="20"/>
                <w:szCs w:val="20"/>
              </w:rPr>
              <w:t>Q15. Do you have any feedback on the indicative draft non-discrimination principles (and guidance) set out in Appendix B? Without limiting your feedback, we would be particularly interested in your views on the following questions:</w:t>
            </w:r>
          </w:p>
          <w:p w14:paraId="0FF1DB5E" w14:textId="77777777" w:rsidR="008F06CA" w:rsidRPr="008F06CA" w:rsidRDefault="008F06CA" w:rsidP="008F06CA">
            <w:pPr>
              <w:spacing w:before="120" w:after="120" w:line="276" w:lineRule="auto"/>
              <w:rPr>
                <w:rFonts w:ascii="Arial" w:hAnsi="Arial" w:cs="Angsana New"/>
                <w:color w:val="000000"/>
                <w:sz w:val="20"/>
                <w:szCs w:val="20"/>
              </w:rPr>
            </w:pPr>
            <w:r w:rsidRPr="008F06CA">
              <w:rPr>
                <w:rFonts w:ascii="Arial" w:hAnsi="Arial" w:cs="Angsana New"/>
                <w:color w:val="000000"/>
                <w:sz w:val="20"/>
                <w:szCs w:val="20"/>
              </w:rPr>
              <w:t xml:space="preserve">a. Have we got the level of detail/prescription right? For example, do you consider that the principles and guidance will lead to economically meaningful </w:t>
            </w:r>
            <w:proofErr w:type="spellStart"/>
            <w:r w:rsidRPr="008F06CA">
              <w:rPr>
                <w:rFonts w:ascii="Arial" w:hAnsi="Arial" w:cs="Angsana New"/>
                <w:color w:val="000000"/>
                <w:sz w:val="20"/>
                <w:szCs w:val="20"/>
              </w:rPr>
              <w:t>Gentailer</w:t>
            </w:r>
            <w:proofErr w:type="spellEnd"/>
            <w:r w:rsidRPr="008F06CA">
              <w:rPr>
                <w:rFonts w:ascii="Arial" w:hAnsi="Arial" w:cs="Angsana New"/>
                <w:color w:val="000000"/>
                <w:sz w:val="20"/>
                <w:szCs w:val="20"/>
              </w:rPr>
              <w:t xml:space="preserve"> ITPs being put in place? What would be the costs and benefits of instead applying a more prescriptive ITP methodology?</w:t>
            </w:r>
          </w:p>
          <w:p w14:paraId="4C795973" w14:textId="77777777" w:rsidR="008F06CA" w:rsidRPr="008F06CA" w:rsidRDefault="008F06CA" w:rsidP="008F06CA">
            <w:pPr>
              <w:spacing w:before="120" w:after="120" w:line="276" w:lineRule="auto"/>
              <w:rPr>
                <w:rFonts w:ascii="Arial" w:hAnsi="Arial" w:cs="Angsana New"/>
                <w:color w:val="000000"/>
                <w:sz w:val="20"/>
                <w:szCs w:val="20"/>
              </w:rPr>
            </w:pPr>
            <w:r w:rsidRPr="008F06CA">
              <w:rPr>
                <w:rFonts w:ascii="Arial" w:hAnsi="Arial" w:cs="Angsana New"/>
                <w:color w:val="000000"/>
                <w:sz w:val="20"/>
                <w:szCs w:val="20"/>
              </w:rPr>
              <w:t xml:space="preserve">b. How far should the allowance in the principles for different treatment where there is a “cost-based, objectively justifiable reason” extend? Do you agree with the guidance that this allowance should not be extended to volume (at paragraph 13 of Appendix B)? </w:t>
            </w:r>
          </w:p>
        </w:tc>
        <w:tc>
          <w:tcPr>
            <w:tcW w:w="5482" w:type="dxa"/>
          </w:tcPr>
          <w:p w14:paraId="6669625F" w14:textId="77777777" w:rsidR="008F06CA" w:rsidRPr="008F06CA" w:rsidRDefault="008F06CA" w:rsidP="008F06CA">
            <w:pPr>
              <w:spacing w:before="120" w:after="120" w:line="276" w:lineRule="auto"/>
              <w:rPr>
                <w:rFonts w:ascii="Arial" w:hAnsi="Arial" w:cs="Angsana New"/>
                <w:sz w:val="20"/>
                <w:szCs w:val="20"/>
              </w:rPr>
            </w:pPr>
          </w:p>
        </w:tc>
      </w:tr>
      <w:tr w:rsidR="008F06CA" w:rsidRPr="008F06CA" w14:paraId="3FF040F9" w14:textId="77777777" w:rsidTr="00611E4F">
        <w:trPr>
          <w:cnfStyle w:val="000000010000" w:firstRow="0" w:lastRow="0" w:firstColumn="0" w:lastColumn="0" w:oddVBand="0" w:evenVBand="0" w:oddHBand="0" w:evenHBand="1" w:firstRowFirstColumn="0" w:firstRowLastColumn="0" w:lastRowFirstColumn="0" w:lastRowLastColumn="0"/>
          <w:cantSplit/>
        </w:trPr>
        <w:tc>
          <w:tcPr>
            <w:tcW w:w="3544" w:type="dxa"/>
          </w:tcPr>
          <w:p w14:paraId="51F068F4" w14:textId="77777777" w:rsidR="008F06CA" w:rsidRPr="008F06CA" w:rsidRDefault="008F06CA" w:rsidP="008F06CA">
            <w:pPr>
              <w:spacing w:before="120" w:after="120" w:line="276" w:lineRule="auto"/>
              <w:rPr>
                <w:rFonts w:ascii="Arial" w:hAnsi="Arial" w:cs="Angsana New"/>
                <w:color w:val="000000"/>
                <w:sz w:val="20"/>
                <w:szCs w:val="20"/>
              </w:rPr>
            </w:pPr>
            <w:r w:rsidRPr="008F06CA">
              <w:rPr>
                <w:rFonts w:ascii="Arial" w:hAnsi="Arial" w:cs="Angsana New"/>
                <w:color w:val="000000"/>
                <w:sz w:val="20"/>
                <w:szCs w:val="20"/>
              </w:rPr>
              <w:t>Q16. Do you agree that escalation options are needed if principles-based non-discrimination obligations are implemented initially? Why/why not?</w:t>
            </w:r>
          </w:p>
        </w:tc>
        <w:tc>
          <w:tcPr>
            <w:tcW w:w="5482" w:type="dxa"/>
          </w:tcPr>
          <w:p w14:paraId="0EF74A76" w14:textId="77777777" w:rsidR="008F06CA" w:rsidRPr="008F06CA" w:rsidRDefault="008F06CA" w:rsidP="008F06CA">
            <w:pPr>
              <w:spacing w:before="120" w:after="120" w:line="276" w:lineRule="auto"/>
              <w:rPr>
                <w:rFonts w:ascii="Arial" w:hAnsi="Arial" w:cs="Angsana New"/>
                <w:sz w:val="20"/>
                <w:szCs w:val="20"/>
              </w:rPr>
            </w:pPr>
          </w:p>
        </w:tc>
      </w:tr>
      <w:tr w:rsidR="008F06CA" w:rsidRPr="008F06CA" w14:paraId="2B613832" w14:textId="77777777" w:rsidTr="00611E4F">
        <w:trPr>
          <w:cnfStyle w:val="000000100000" w:firstRow="0" w:lastRow="0" w:firstColumn="0" w:lastColumn="0" w:oddVBand="0" w:evenVBand="0" w:oddHBand="1" w:evenHBand="0" w:firstRowFirstColumn="0" w:firstRowLastColumn="0" w:lastRowFirstColumn="0" w:lastRowLastColumn="0"/>
          <w:cantSplit/>
        </w:trPr>
        <w:tc>
          <w:tcPr>
            <w:tcW w:w="3544" w:type="dxa"/>
          </w:tcPr>
          <w:p w14:paraId="7EF95B75" w14:textId="77777777" w:rsidR="008F06CA" w:rsidRPr="008F06CA" w:rsidRDefault="008F06CA" w:rsidP="008F06CA">
            <w:pPr>
              <w:spacing w:before="120" w:after="120" w:line="276" w:lineRule="auto"/>
              <w:rPr>
                <w:rFonts w:ascii="Arial" w:hAnsi="Arial" w:cs="Angsana New"/>
                <w:color w:val="000000"/>
                <w:sz w:val="20"/>
                <w:szCs w:val="20"/>
              </w:rPr>
            </w:pPr>
            <w:r w:rsidRPr="008F06CA">
              <w:rPr>
                <w:rFonts w:ascii="Arial" w:hAnsi="Arial" w:cs="Angsana New"/>
                <w:color w:val="000000"/>
                <w:sz w:val="20"/>
                <w:szCs w:val="20"/>
              </w:rPr>
              <w:t xml:space="preserve">Q17. Are prescribed non-discrimination requirements and mandatory trading of </w:t>
            </w:r>
            <w:proofErr w:type="spellStart"/>
            <w:r w:rsidRPr="008F06CA">
              <w:rPr>
                <w:rFonts w:ascii="Arial" w:hAnsi="Arial" w:cs="Angsana New"/>
                <w:color w:val="000000"/>
                <w:sz w:val="20"/>
                <w:szCs w:val="20"/>
              </w:rPr>
              <w:t>Gentailer</w:t>
            </w:r>
            <w:proofErr w:type="spellEnd"/>
            <w:r w:rsidRPr="008F06CA">
              <w:rPr>
                <w:rFonts w:ascii="Arial" w:hAnsi="Arial" w:cs="Angsana New"/>
                <w:color w:val="000000"/>
                <w:sz w:val="20"/>
                <w:szCs w:val="20"/>
              </w:rPr>
              <w:t xml:space="preserve"> hedges via a common platform suitable escalations given the liquidity, competitive pricing and even-handedness outcomes we are seeking? Why/why not? What alternatives would you suggest (if any)?</w:t>
            </w:r>
          </w:p>
        </w:tc>
        <w:tc>
          <w:tcPr>
            <w:tcW w:w="5482" w:type="dxa"/>
          </w:tcPr>
          <w:p w14:paraId="3F3690E3" w14:textId="77777777" w:rsidR="008F06CA" w:rsidRPr="008F06CA" w:rsidRDefault="008F06CA" w:rsidP="008F06CA">
            <w:pPr>
              <w:spacing w:before="120" w:after="120" w:line="276" w:lineRule="auto"/>
              <w:rPr>
                <w:rFonts w:ascii="Arial" w:hAnsi="Arial" w:cs="Angsana New"/>
                <w:sz w:val="20"/>
                <w:szCs w:val="20"/>
              </w:rPr>
            </w:pPr>
          </w:p>
        </w:tc>
      </w:tr>
      <w:tr w:rsidR="008F06CA" w:rsidRPr="008F06CA" w14:paraId="20E36DE4" w14:textId="77777777" w:rsidTr="00611E4F">
        <w:trPr>
          <w:cnfStyle w:val="000000010000" w:firstRow="0" w:lastRow="0" w:firstColumn="0" w:lastColumn="0" w:oddVBand="0" w:evenVBand="0" w:oddHBand="0" w:evenHBand="1" w:firstRowFirstColumn="0" w:firstRowLastColumn="0" w:lastRowFirstColumn="0" w:lastRowLastColumn="0"/>
          <w:cantSplit/>
        </w:trPr>
        <w:tc>
          <w:tcPr>
            <w:tcW w:w="3544" w:type="dxa"/>
          </w:tcPr>
          <w:p w14:paraId="4BB5A6F0" w14:textId="77777777" w:rsidR="008F06CA" w:rsidRPr="008F06CA" w:rsidRDefault="008F06CA" w:rsidP="008F06CA">
            <w:pPr>
              <w:spacing w:before="120" w:after="120" w:line="276" w:lineRule="auto"/>
              <w:rPr>
                <w:rFonts w:ascii="Arial" w:hAnsi="Arial" w:cs="Angsana New"/>
                <w:color w:val="000000"/>
                <w:sz w:val="20"/>
                <w:szCs w:val="20"/>
              </w:rPr>
            </w:pPr>
            <w:r w:rsidRPr="008F06CA">
              <w:rPr>
                <w:rFonts w:ascii="Arial" w:hAnsi="Arial" w:cs="Angsana New"/>
                <w:color w:val="000000"/>
                <w:sz w:val="20"/>
                <w:szCs w:val="20"/>
              </w:rPr>
              <w:lastRenderedPageBreak/>
              <w:t>Q18. What costs and benefits are likely to be involved in setting more prescriptive regulatory accounting rules which detail how ITPs should be calculated? What would be appropriate triggers for introducing more prescriptive requirements for ITPs?</w:t>
            </w:r>
          </w:p>
        </w:tc>
        <w:tc>
          <w:tcPr>
            <w:tcW w:w="5482" w:type="dxa"/>
          </w:tcPr>
          <w:p w14:paraId="12D217B0" w14:textId="77777777" w:rsidR="008F06CA" w:rsidRPr="008F06CA" w:rsidRDefault="008F06CA" w:rsidP="008F06CA">
            <w:pPr>
              <w:spacing w:before="120" w:after="120" w:line="276" w:lineRule="auto"/>
              <w:rPr>
                <w:rFonts w:ascii="Arial" w:hAnsi="Arial" w:cs="Angsana New"/>
                <w:sz w:val="20"/>
                <w:szCs w:val="20"/>
              </w:rPr>
            </w:pPr>
          </w:p>
        </w:tc>
      </w:tr>
      <w:tr w:rsidR="008F06CA" w:rsidRPr="008F06CA" w14:paraId="0B290241" w14:textId="77777777" w:rsidTr="00611E4F">
        <w:trPr>
          <w:cnfStyle w:val="000000100000" w:firstRow="0" w:lastRow="0" w:firstColumn="0" w:lastColumn="0" w:oddVBand="0" w:evenVBand="0" w:oddHBand="1" w:evenHBand="0" w:firstRowFirstColumn="0" w:firstRowLastColumn="0" w:lastRowFirstColumn="0" w:lastRowLastColumn="0"/>
          <w:cantSplit/>
        </w:trPr>
        <w:tc>
          <w:tcPr>
            <w:tcW w:w="3544" w:type="dxa"/>
          </w:tcPr>
          <w:p w14:paraId="4FFB8B16" w14:textId="77777777" w:rsidR="008F06CA" w:rsidRPr="008F06CA" w:rsidRDefault="008F06CA" w:rsidP="008F06CA">
            <w:pPr>
              <w:spacing w:before="120" w:after="120" w:line="276" w:lineRule="auto"/>
              <w:rPr>
                <w:rFonts w:ascii="Arial" w:hAnsi="Arial" w:cs="Angsana New"/>
                <w:color w:val="000000"/>
                <w:sz w:val="20"/>
                <w:szCs w:val="20"/>
              </w:rPr>
            </w:pPr>
            <w:r w:rsidRPr="008F06CA">
              <w:rPr>
                <w:rFonts w:ascii="Arial" w:hAnsi="Arial" w:cs="Angsana New"/>
                <w:color w:val="000000"/>
                <w:sz w:val="20"/>
                <w:szCs w:val="20"/>
              </w:rPr>
              <w:t xml:space="preserve">Q19. Do you have any views on how the non-discrimination requirements should best be implemented to ensure that </w:t>
            </w:r>
            <w:proofErr w:type="spellStart"/>
            <w:r w:rsidRPr="008F06CA">
              <w:rPr>
                <w:rFonts w:ascii="Arial" w:hAnsi="Arial" w:cs="Angsana New"/>
                <w:color w:val="000000"/>
                <w:sz w:val="20"/>
                <w:szCs w:val="20"/>
              </w:rPr>
              <w:t>Gentailers</w:t>
            </w:r>
            <w:proofErr w:type="spellEnd"/>
            <w:r w:rsidRPr="008F06CA">
              <w:rPr>
                <w:rFonts w:ascii="Arial" w:hAnsi="Arial" w:cs="Angsana New"/>
                <w:color w:val="000000"/>
                <w:sz w:val="20"/>
                <w:szCs w:val="20"/>
              </w:rPr>
              <w:t xml:space="preserve"> are no longer able to allocate uncontracted hedge volumes to their own retail function in preference to third parties? What are the key issues and trade-offs?</w:t>
            </w:r>
          </w:p>
        </w:tc>
        <w:tc>
          <w:tcPr>
            <w:tcW w:w="5482" w:type="dxa"/>
          </w:tcPr>
          <w:p w14:paraId="00139ADF" w14:textId="77777777" w:rsidR="008F06CA" w:rsidRPr="008F06CA" w:rsidRDefault="008F06CA" w:rsidP="008F06CA">
            <w:pPr>
              <w:spacing w:before="120" w:after="120" w:line="276" w:lineRule="auto"/>
              <w:rPr>
                <w:rFonts w:ascii="Arial" w:hAnsi="Arial" w:cs="Angsana New"/>
                <w:sz w:val="20"/>
                <w:szCs w:val="20"/>
              </w:rPr>
            </w:pPr>
          </w:p>
        </w:tc>
      </w:tr>
      <w:tr w:rsidR="008F06CA" w:rsidRPr="008F06CA" w14:paraId="254B8FEE" w14:textId="77777777" w:rsidTr="00611E4F">
        <w:trPr>
          <w:cnfStyle w:val="000000010000" w:firstRow="0" w:lastRow="0" w:firstColumn="0" w:lastColumn="0" w:oddVBand="0" w:evenVBand="0" w:oddHBand="0" w:evenHBand="1" w:firstRowFirstColumn="0" w:firstRowLastColumn="0" w:lastRowFirstColumn="0" w:lastRowLastColumn="0"/>
          <w:cantSplit/>
        </w:trPr>
        <w:tc>
          <w:tcPr>
            <w:tcW w:w="3544" w:type="dxa"/>
          </w:tcPr>
          <w:p w14:paraId="3F4835A8" w14:textId="77777777" w:rsidR="008F06CA" w:rsidRPr="008F06CA" w:rsidRDefault="008F06CA" w:rsidP="008F06CA">
            <w:pPr>
              <w:spacing w:before="120" w:after="120" w:line="276" w:lineRule="auto"/>
              <w:rPr>
                <w:rFonts w:ascii="Arial" w:hAnsi="Arial" w:cs="Angsana New"/>
                <w:color w:val="000000"/>
                <w:sz w:val="20"/>
                <w:szCs w:val="20"/>
              </w:rPr>
            </w:pPr>
            <w:r w:rsidRPr="008F06CA">
              <w:rPr>
                <w:rFonts w:ascii="Arial" w:hAnsi="Arial" w:cs="Angsana New"/>
                <w:color w:val="000000"/>
                <w:sz w:val="20"/>
                <w:szCs w:val="20"/>
              </w:rPr>
              <w:t>Q20. Do you have any views on the triggers for implementing the stronger regulation proposed in our roadmap?</w:t>
            </w:r>
          </w:p>
        </w:tc>
        <w:tc>
          <w:tcPr>
            <w:tcW w:w="5482" w:type="dxa"/>
          </w:tcPr>
          <w:p w14:paraId="503F3E73" w14:textId="77777777" w:rsidR="008F06CA" w:rsidRPr="008F06CA" w:rsidRDefault="008F06CA" w:rsidP="008F06CA">
            <w:pPr>
              <w:spacing w:before="120" w:after="120" w:line="276" w:lineRule="auto"/>
              <w:rPr>
                <w:rFonts w:ascii="Arial" w:hAnsi="Arial" w:cs="Angsana New"/>
                <w:sz w:val="20"/>
                <w:szCs w:val="20"/>
              </w:rPr>
            </w:pPr>
          </w:p>
        </w:tc>
      </w:tr>
      <w:tr w:rsidR="008F06CA" w:rsidRPr="008F06CA" w14:paraId="6E0EDAFC" w14:textId="77777777" w:rsidTr="00611E4F">
        <w:trPr>
          <w:cnfStyle w:val="000000100000" w:firstRow="0" w:lastRow="0" w:firstColumn="0" w:lastColumn="0" w:oddVBand="0" w:evenVBand="0" w:oddHBand="1" w:evenHBand="0" w:firstRowFirstColumn="0" w:firstRowLastColumn="0" w:lastRowFirstColumn="0" w:lastRowLastColumn="0"/>
          <w:cantSplit/>
        </w:trPr>
        <w:tc>
          <w:tcPr>
            <w:tcW w:w="9026" w:type="dxa"/>
            <w:gridSpan w:val="2"/>
          </w:tcPr>
          <w:p w14:paraId="5EDD623E" w14:textId="77777777" w:rsidR="008F06CA" w:rsidRPr="008F06CA" w:rsidRDefault="008F06CA" w:rsidP="008F06CA">
            <w:pPr>
              <w:spacing w:before="120" w:after="120" w:line="276" w:lineRule="auto"/>
              <w:rPr>
                <w:rFonts w:ascii="Arial" w:hAnsi="Arial" w:cs="Angsana New"/>
                <w:b/>
                <w:bCs/>
                <w:sz w:val="20"/>
                <w:szCs w:val="20"/>
              </w:rPr>
            </w:pPr>
            <w:r w:rsidRPr="008F06CA">
              <w:rPr>
                <w:rFonts w:ascii="Arial" w:hAnsi="Arial" w:cs="Angsana New"/>
                <w:b/>
                <w:bCs/>
                <w:sz w:val="20"/>
                <w:szCs w:val="20"/>
              </w:rPr>
              <w:t>Our current thinking on virtual disaggregation</w:t>
            </w:r>
          </w:p>
        </w:tc>
      </w:tr>
      <w:tr w:rsidR="008F06CA" w:rsidRPr="008F06CA" w14:paraId="2FB648E0" w14:textId="77777777" w:rsidTr="00611E4F">
        <w:trPr>
          <w:cnfStyle w:val="000000010000" w:firstRow="0" w:lastRow="0" w:firstColumn="0" w:lastColumn="0" w:oddVBand="0" w:evenVBand="0" w:oddHBand="0" w:evenHBand="1" w:firstRowFirstColumn="0" w:firstRowLastColumn="0" w:lastRowFirstColumn="0" w:lastRowLastColumn="0"/>
          <w:cantSplit/>
        </w:trPr>
        <w:tc>
          <w:tcPr>
            <w:tcW w:w="3544" w:type="dxa"/>
          </w:tcPr>
          <w:p w14:paraId="4AF3D60E" w14:textId="77777777" w:rsidR="008F06CA" w:rsidRPr="008F06CA" w:rsidRDefault="008F06CA" w:rsidP="008F06CA">
            <w:pPr>
              <w:spacing w:before="120" w:after="120" w:line="276" w:lineRule="auto"/>
              <w:rPr>
                <w:rFonts w:ascii="Arial" w:hAnsi="Arial" w:cs="Angsana New"/>
                <w:color w:val="000000"/>
                <w:sz w:val="20"/>
                <w:szCs w:val="20"/>
              </w:rPr>
            </w:pPr>
            <w:r w:rsidRPr="008F06CA">
              <w:rPr>
                <w:rFonts w:ascii="Arial" w:hAnsi="Arial" w:cs="Angsana New"/>
                <w:color w:val="000000"/>
                <w:sz w:val="20"/>
                <w:szCs w:val="20"/>
              </w:rPr>
              <w:t>Q21. Does our proposed approach to implementing non-discrimination obligations (as set out in the roadmap in Figure 7) sufficiently address the underlying issue that originally led to MDAG recommending virtual disaggregation?</w:t>
            </w:r>
          </w:p>
        </w:tc>
        <w:tc>
          <w:tcPr>
            <w:tcW w:w="5482" w:type="dxa"/>
          </w:tcPr>
          <w:p w14:paraId="0767AF21" w14:textId="77777777" w:rsidR="008F06CA" w:rsidRPr="008F06CA" w:rsidRDefault="008F06CA" w:rsidP="008F06CA">
            <w:pPr>
              <w:spacing w:before="120" w:after="120" w:line="276" w:lineRule="auto"/>
              <w:rPr>
                <w:rFonts w:ascii="Arial" w:hAnsi="Arial" w:cs="Angsana New"/>
                <w:sz w:val="20"/>
                <w:szCs w:val="20"/>
              </w:rPr>
            </w:pPr>
          </w:p>
        </w:tc>
      </w:tr>
      <w:tr w:rsidR="008F06CA" w:rsidRPr="008F06CA" w14:paraId="1136EA55" w14:textId="77777777" w:rsidTr="00611E4F">
        <w:trPr>
          <w:cnfStyle w:val="000000100000" w:firstRow="0" w:lastRow="0" w:firstColumn="0" w:lastColumn="0" w:oddVBand="0" w:evenVBand="0" w:oddHBand="1" w:evenHBand="0" w:firstRowFirstColumn="0" w:firstRowLastColumn="0" w:lastRowFirstColumn="0" w:lastRowLastColumn="0"/>
          <w:cantSplit/>
        </w:trPr>
        <w:tc>
          <w:tcPr>
            <w:tcW w:w="3544" w:type="dxa"/>
          </w:tcPr>
          <w:p w14:paraId="7F168294" w14:textId="77777777" w:rsidR="008F06CA" w:rsidRPr="008F06CA" w:rsidRDefault="008F06CA" w:rsidP="008F06CA">
            <w:pPr>
              <w:spacing w:before="120" w:after="120" w:line="276" w:lineRule="auto"/>
              <w:rPr>
                <w:rFonts w:ascii="Arial" w:hAnsi="Arial" w:cs="Angsana New"/>
                <w:color w:val="000000"/>
                <w:sz w:val="20"/>
                <w:szCs w:val="20"/>
              </w:rPr>
            </w:pPr>
            <w:r w:rsidRPr="008F06CA">
              <w:rPr>
                <w:rFonts w:ascii="Arial" w:hAnsi="Arial" w:cs="Angsana New"/>
                <w:color w:val="000000"/>
                <w:sz w:val="20"/>
                <w:szCs w:val="20"/>
              </w:rPr>
              <w:t>Q22. Do you have any views on whether virtual disaggregation provides a useful response to the competition risks we have identified (relative to the proposed roadmap) and, if it does, how it should be best applied?</w:t>
            </w:r>
          </w:p>
        </w:tc>
        <w:tc>
          <w:tcPr>
            <w:tcW w:w="5482" w:type="dxa"/>
          </w:tcPr>
          <w:p w14:paraId="1D9C535D" w14:textId="77777777" w:rsidR="008F06CA" w:rsidRPr="008F06CA" w:rsidRDefault="008F06CA" w:rsidP="008F06CA">
            <w:pPr>
              <w:spacing w:before="120" w:after="120" w:line="276" w:lineRule="auto"/>
              <w:rPr>
                <w:rFonts w:ascii="Arial" w:hAnsi="Arial" w:cs="Angsana New"/>
                <w:sz w:val="20"/>
                <w:szCs w:val="20"/>
              </w:rPr>
            </w:pPr>
          </w:p>
        </w:tc>
      </w:tr>
    </w:tbl>
    <w:p w14:paraId="2A127E59" w14:textId="77777777" w:rsidR="00B06791" w:rsidRDefault="00B06791"/>
    <w:sectPr w:rsidR="00B06791">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00CA4" w14:textId="77777777" w:rsidR="008F06CA" w:rsidRDefault="008F06CA" w:rsidP="008F06CA">
      <w:pPr>
        <w:spacing w:after="0" w:line="240" w:lineRule="auto"/>
      </w:pPr>
      <w:r>
        <w:separator/>
      </w:r>
    </w:p>
  </w:endnote>
  <w:endnote w:type="continuationSeparator" w:id="0">
    <w:p w14:paraId="5DC5794A" w14:textId="77777777" w:rsidR="008F06CA" w:rsidRDefault="008F06CA" w:rsidP="008F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BBF25" w14:textId="225CCCF7" w:rsidR="008F06CA" w:rsidRDefault="008F0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4120D" w14:textId="7E0BC1DB" w:rsidR="008F06CA" w:rsidRDefault="008F06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03C66" w14:textId="1B661D31" w:rsidR="008F06CA" w:rsidRDefault="008F0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E978A" w14:textId="77777777" w:rsidR="008F06CA" w:rsidRDefault="008F06CA" w:rsidP="008F06CA">
      <w:pPr>
        <w:spacing w:after="0" w:line="240" w:lineRule="auto"/>
      </w:pPr>
      <w:r>
        <w:separator/>
      </w:r>
    </w:p>
  </w:footnote>
  <w:footnote w:type="continuationSeparator" w:id="0">
    <w:p w14:paraId="06EA0BC2" w14:textId="77777777" w:rsidR="008F06CA" w:rsidRDefault="008F06CA" w:rsidP="008F0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CA"/>
    <w:rsid w:val="00145975"/>
    <w:rsid w:val="00190724"/>
    <w:rsid w:val="00507333"/>
    <w:rsid w:val="005E2E35"/>
    <w:rsid w:val="0086321C"/>
    <w:rsid w:val="008F06CA"/>
    <w:rsid w:val="00902EEC"/>
    <w:rsid w:val="00B06791"/>
    <w:rsid w:val="00B271AC"/>
    <w:rsid w:val="00ED6F64"/>
    <w:rsid w:val="00F02ACA"/>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BC1295"/>
  <w15:chartTrackingRefBased/>
  <w15:docId w15:val="{436DBA12-6617-4BB5-BE61-03BC7F73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NZ"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6CA"/>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8F06CA"/>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8F06CA"/>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8F06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06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06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06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06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06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6CA"/>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8F06CA"/>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8F06CA"/>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8F06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06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06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6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6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6CA"/>
    <w:rPr>
      <w:rFonts w:eastAsiaTheme="majorEastAsia" w:cstheme="majorBidi"/>
      <w:color w:val="272727" w:themeColor="text1" w:themeTint="D8"/>
    </w:rPr>
  </w:style>
  <w:style w:type="paragraph" w:styleId="Title">
    <w:name w:val="Title"/>
    <w:basedOn w:val="Normal"/>
    <w:next w:val="Normal"/>
    <w:link w:val="TitleChar"/>
    <w:uiPriority w:val="10"/>
    <w:qFormat/>
    <w:rsid w:val="008F06CA"/>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8F06CA"/>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8F06CA"/>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8F06CA"/>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8F06CA"/>
    <w:pPr>
      <w:spacing w:before="160"/>
      <w:jc w:val="center"/>
    </w:pPr>
    <w:rPr>
      <w:i/>
      <w:iCs/>
      <w:color w:val="404040" w:themeColor="text1" w:themeTint="BF"/>
    </w:rPr>
  </w:style>
  <w:style w:type="character" w:customStyle="1" w:styleId="QuoteChar">
    <w:name w:val="Quote Char"/>
    <w:basedOn w:val="DefaultParagraphFont"/>
    <w:link w:val="Quote"/>
    <w:uiPriority w:val="29"/>
    <w:rsid w:val="008F06CA"/>
    <w:rPr>
      <w:i/>
      <w:iCs/>
      <w:color w:val="404040" w:themeColor="text1" w:themeTint="BF"/>
    </w:rPr>
  </w:style>
  <w:style w:type="paragraph" w:styleId="ListParagraph">
    <w:name w:val="List Paragraph"/>
    <w:basedOn w:val="Normal"/>
    <w:uiPriority w:val="34"/>
    <w:qFormat/>
    <w:rsid w:val="008F06CA"/>
    <w:pPr>
      <w:ind w:left="720"/>
      <w:contextualSpacing/>
    </w:pPr>
  </w:style>
  <w:style w:type="character" w:styleId="IntenseEmphasis">
    <w:name w:val="Intense Emphasis"/>
    <w:basedOn w:val="DefaultParagraphFont"/>
    <w:uiPriority w:val="21"/>
    <w:qFormat/>
    <w:rsid w:val="008F06CA"/>
    <w:rPr>
      <w:i/>
      <w:iCs/>
      <w:color w:val="0F4761" w:themeColor="accent1" w:themeShade="BF"/>
    </w:rPr>
  </w:style>
  <w:style w:type="paragraph" w:styleId="IntenseQuote">
    <w:name w:val="Intense Quote"/>
    <w:basedOn w:val="Normal"/>
    <w:next w:val="Normal"/>
    <w:link w:val="IntenseQuoteChar"/>
    <w:uiPriority w:val="30"/>
    <w:qFormat/>
    <w:rsid w:val="008F06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06CA"/>
    <w:rPr>
      <w:i/>
      <w:iCs/>
      <w:color w:val="0F4761" w:themeColor="accent1" w:themeShade="BF"/>
    </w:rPr>
  </w:style>
  <w:style w:type="character" w:styleId="IntenseReference">
    <w:name w:val="Intense Reference"/>
    <w:basedOn w:val="DefaultParagraphFont"/>
    <w:uiPriority w:val="32"/>
    <w:qFormat/>
    <w:rsid w:val="008F06CA"/>
    <w:rPr>
      <w:b/>
      <w:bCs/>
      <w:smallCaps/>
      <w:color w:val="0F4761" w:themeColor="accent1" w:themeShade="BF"/>
      <w:spacing w:val="5"/>
    </w:rPr>
  </w:style>
  <w:style w:type="table" w:customStyle="1" w:styleId="EATable2">
    <w:name w:val="EA Table 2"/>
    <w:basedOn w:val="TableNormal"/>
    <w:uiPriority w:val="99"/>
    <w:rsid w:val="008F06CA"/>
    <w:pPr>
      <w:spacing w:after="0" w:line="240" w:lineRule="auto"/>
    </w:pPr>
    <w:rPr>
      <w:rFonts w:eastAsia="Arial"/>
      <w:kern w:val="0"/>
      <w:sz w:val="22"/>
      <w:szCs w:val="22"/>
      <w:lang w:eastAsia="en-US" w:bidi="ar-SA"/>
      <w14:ligatures w14:val="none"/>
    </w:rPr>
    <w:tblPr>
      <w:tblStyleRowBandSize w:val="1"/>
      <w:tblStyleColBandSize w:val="1"/>
      <w:tblBorders>
        <w:bottom w:val="single" w:sz="4" w:space="0" w:color="auto"/>
        <w:insideH w:val="single" w:sz="4" w:space="0" w:color="auto"/>
        <w:insideV w:val="single" w:sz="4" w:space="0" w:color="auto"/>
      </w:tblBorders>
    </w:tblPr>
    <w:tblStylePr w:type="firstRow">
      <w:rPr>
        <w:b/>
      </w:rPr>
      <w:tblPr/>
      <w:tcPr>
        <w:shd w:val="clear" w:color="auto" w:fill="002749"/>
      </w:tcPr>
    </w:tblStylePr>
    <w:tblStylePr w:type="band1Horz">
      <w:tblPr/>
      <w:tcPr>
        <w:shd w:val="clear" w:color="auto" w:fill="F4F4F4"/>
      </w:tcPr>
    </w:tblStylePr>
    <w:tblStylePr w:type="band2Horz">
      <w:tblPr/>
      <w:tcPr>
        <w:shd w:val="clear" w:color="auto" w:fill="D7E1EF"/>
      </w:tcPr>
    </w:tblStylePr>
  </w:style>
  <w:style w:type="paragraph" w:styleId="Footer">
    <w:name w:val="footer"/>
    <w:basedOn w:val="Normal"/>
    <w:link w:val="FooterChar"/>
    <w:uiPriority w:val="99"/>
    <w:unhideWhenUsed/>
    <w:rsid w:val="008F0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6CA"/>
  </w:style>
  <w:style w:type="paragraph" w:styleId="Header">
    <w:name w:val="header"/>
    <w:basedOn w:val="Normal"/>
    <w:link w:val="HeaderChar"/>
    <w:uiPriority w:val="99"/>
    <w:unhideWhenUsed/>
    <w:rsid w:val="00145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14926E32287EC4B9029BC8473F05AB3" ma:contentTypeVersion="10" ma:contentTypeDescription="Create a new document." ma:contentTypeScope="" ma:versionID="e9436ee093c38e7cfd67d2a4a4f5f157">
  <xsd:schema xmlns:xsd="http://www.w3.org/2001/XMLSchema" xmlns:xs="http://www.w3.org/2001/XMLSchema" xmlns:p="http://schemas.microsoft.com/office/2006/metadata/properties" xmlns:ns2="a9c8c5d4-23fe-4158-b13a-ce651994aad2" xmlns:ns3="387a8c72-9d48-4ce9-9e11-34daf06c9afb" targetNamespace="http://schemas.microsoft.com/office/2006/metadata/properties" ma:root="true" ma:fieldsID="92aca02aeb3185bc4d2c95e509b064ba" ns2:_="" ns3:_="">
    <xsd:import namespace="a9c8c5d4-23fe-4158-b13a-ce651994aad2"/>
    <xsd:import namespace="387a8c72-9d48-4ce9-9e11-34daf06c9a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8c5d4-23fe-4158-b13a-ce651994aa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87a8c72-9d48-4ce9-9e11-34daf06c9a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c1b479d-2f4c-4731-ac2b-718bffb3d6e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7a8c72-9d48-4ce9-9e11-34daf06c9af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E751B8-DE04-4B50-AF7A-69B76F3A628B}">
  <ds:schemaRefs>
    <ds:schemaRef ds:uri="http://schemas.microsoft.com/sharepoint/events"/>
  </ds:schemaRefs>
</ds:datastoreItem>
</file>

<file path=customXml/itemProps2.xml><?xml version="1.0" encoding="utf-8"?>
<ds:datastoreItem xmlns:ds="http://schemas.openxmlformats.org/officeDocument/2006/customXml" ds:itemID="{23FB7D21-578D-4999-851A-A836C2201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8c5d4-23fe-4158-b13a-ce651994aad2"/>
    <ds:schemaRef ds:uri="387a8c72-9d48-4ce9-9e11-34daf06c9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BB75C-98E2-4801-AC4A-D84C44141EDE}">
  <ds:schemaRefs>
    <ds:schemaRef ds:uri="a9c8c5d4-23fe-4158-b13a-ce651994aad2"/>
    <ds:schemaRef ds:uri="http://schemas.microsoft.com/office/2006/documentManagement/types"/>
    <ds:schemaRef ds:uri="http://www.w3.org/XML/1998/namespace"/>
    <ds:schemaRef ds:uri="http://purl.org/dc/terms/"/>
    <ds:schemaRef ds:uri="387a8c72-9d48-4ce9-9e11-34daf06c9afb"/>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759ABC8-DB48-4720-9CA6-EC7ECB932B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4356</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Low</dc:creator>
  <cp:keywords/>
  <dc:description/>
  <cp:lastModifiedBy>Sean Martin</cp:lastModifiedBy>
  <cp:revision>3</cp:revision>
  <dcterms:created xsi:type="dcterms:W3CDTF">2025-02-25T04:29:00Z</dcterms:created>
  <dcterms:modified xsi:type="dcterms:W3CDTF">2025-02-25T23:40:00Z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0x010100914926E32287EC4B9029BC8473F05AB3</vt:lpwstr>
  </property>
  <property fmtid="{D5CDD505-2E9C-101B-9397-08002B2CF9AE}" pid="3" name="MSIP_Label_114d662c-557e-43a0-9ef4-ea4730eb3732_Enabled">
    <vt:lpwstr>true</vt:lpwstr>
  </property>
  <property fmtid="{D5CDD505-2E9C-101B-9397-08002B2CF9AE}" pid="4" name="MSIP_Label_114d662c-557e-43a0-9ef4-ea4730eb3732_SetDate">
    <vt:lpwstr>2025-02-25T23:40:25Z</vt:lpwstr>
  </property>
  <property fmtid="{D5CDD505-2E9C-101B-9397-08002B2CF9AE}" pid="5" name="MSIP_Label_114d662c-557e-43a0-9ef4-ea4730eb3732_Method">
    <vt:lpwstr>Privileged</vt:lpwstr>
  </property>
  <property fmtid="{D5CDD505-2E9C-101B-9397-08002B2CF9AE}" pid="6" name="MSIP_Label_114d662c-557e-43a0-9ef4-ea4730eb3732_Name">
    <vt:lpwstr>Unclassified</vt:lpwstr>
  </property>
  <property fmtid="{D5CDD505-2E9C-101B-9397-08002B2CF9AE}" pid="7" name="MSIP_Label_114d662c-557e-43a0-9ef4-ea4730eb3732_SiteId">
    <vt:lpwstr>01ce6efc-7935-414f-b831-2b1d356f92e4</vt:lpwstr>
  </property>
  <property fmtid="{D5CDD505-2E9C-101B-9397-08002B2CF9AE}" pid="8" name="MSIP_Label_114d662c-557e-43a0-9ef4-ea4730eb3732_ActionId">
    <vt:lpwstr>95d0bd35-987c-466d-b990-135f0a112998</vt:lpwstr>
  </property>
  <property fmtid="{D5CDD505-2E9C-101B-9397-08002B2CF9AE}" pid="9" name="MSIP_Label_114d662c-557e-43a0-9ef4-ea4730eb3732_ContentBits">
    <vt:lpwstr>0</vt:lpwstr>
  </property>
  <property fmtid="{D5CDD505-2E9C-101B-9397-08002B2CF9AE}" pid="10" name="MSIP_Label_114d662c-557e-43a0-9ef4-ea4730eb3732_Tag">
    <vt:lpwstr>10, 0, 1, 1</vt:lpwstr>
  </property>
</Properties>
</file>